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6C66" w:rsidRDefault="00EA6C6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昏迷指數</w:t>
      </w:r>
    </w:p>
    <w:p w:rsidR="00EA6C66" w:rsidRDefault="00EA6C6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A6C66" w:rsidRDefault="00EA6C6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08:22</w:t>
      </w:r>
    </w:p>
    <w:p w:rsidR="00EA6C66" w:rsidRDefault="00EA6C6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A6C66" w:rsidRDefault="00EA6C66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/>
          <w:color w:val="244061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Glasgow Coma Score, GCS</w:t>
      </w:r>
    </w:p>
    <w:p w:rsidR="00EA6C66" w:rsidRDefault="00EA6C66">
      <w:pPr>
        <w:numPr>
          <w:ilvl w:val="0"/>
          <w:numId w:val="1"/>
        </w:numPr>
        <w:spacing w:line="720" w:lineRule="atLeast"/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行為參照表格</w:t>
      </w:r>
    </w:p>
    <w:p w:rsidR="00EA6C66" w:rsidRDefault="00EA6C66">
      <w:pPr>
        <w:numPr>
          <w:ilvl w:val="1"/>
          <w:numId w:val="1"/>
        </w:numPr>
        <w:spacing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GCS</w:t>
      </w:r>
      <w:r>
        <w:rPr>
          <w:rFonts w:ascii="微軟正黑體" w:eastAsia="微軟正黑體" w:hAnsi="微軟正黑體" w:cs="Calibri" w:hint="eastAsia"/>
          <w:sz w:val="22"/>
          <w:szCs w:val="22"/>
        </w:rPr>
        <w:t>總分最高</w:t>
      </w:r>
      <w:r>
        <w:rPr>
          <w:rFonts w:ascii="微軟正黑體" w:eastAsia="微軟正黑體" w:hAnsi="微軟正黑體" w:cs="Calibri" w:hint="eastAsia"/>
          <w:sz w:val="22"/>
          <w:szCs w:val="22"/>
        </w:rPr>
        <w:t>15</w:t>
      </w:r>
      <w:r>
        <w:rPr>
          <w:rFonts w:ascii="微軟正黑體" w:eastAsia="微軟正黑體" w:hAnsi="微軟正黑體" w:cs="Calibri" w:hint="eastAsia"/>
          <w:sz w:val="22"/>
          <w:szCs w:val="22"/>
        </w:rPr>
        <w:t>分，最低</w:t>
      </w:r>
      <w:r>
        <w:rPr>
          <w:rFonts w:ascii="微軟正黑體" w:eastAsia="微軟正黑體" w:hAnsi="微軟正黑體" w:cs="Calibri" w:hint="eastAsia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分（沒有</w:t>
      </w:r>
      <w:r>
        <w:rPr>
          <w:rFonts w:ascii="微軟正黑體" w:eastAsia="微軟正黑體" w:hAnsi="微軟正黑體" w:cs="Calibri" w:hint="eastAsia"/>
          <w:sz w:val="22"/>
          <w:szCs w:val="22"/>
        </w:rPr>
        <w:t>0</w:t>
      </w:r>
      <w:r>
        <w:rPr>
          <w:rFonts w:ascii="微軟正黑體" w:eastAsia="微軟正黑體" w:hAnsi="微軟正黑體" w:cs="Calibri" w:hint="eastAsia"/>
          <w:sz w:val="22"/>
          <w:szCs w:val="22"/>
        </w:rPr>
        <w:t>分）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45"/>
        <w:gridCol w:w="4175"/>
        <w:gridCol w:w="2086"/>
      </w:tblGrid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行為反應類別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反應內容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睜眼反應（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自發睜眼（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Spontaneous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對語音有反應睜眼（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 verbal command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對疼痛刺激睜眼（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無睜眼反應（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語言反應（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能正確表達時間、人物、地點（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Oriented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16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其中一項回答錯誤、答非所問（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Confused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但仍可以表達完整句子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)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16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只能回答單詞如「吃飽了沒？吃了」、「剛剛在幹嘛？睡覺」（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Inappropriate words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發出無法辨識的聲音、無意義的呻吟（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Incomprehensible sounds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無語言反應（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670374905"/>
        </w:trPr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肢體反應（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能聽從指令動作（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Follows instructions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能定位疼痛點（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Localizes pain stimulus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疼痛刺激有想撥開的動作（正常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flexion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Withdraws from pain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EA6C66" w:rsidRDefault="00EA6C66">
            <w:pPr>
              <w:numPr>
                <w:ilvl w:val="0"/>
                <w:numId w:val="2"/>
              </w:numPr>
              <w:spacing w:line="720" w:lineRule="atLeast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撥不到也算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手異常屈曲反應（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Decorticate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手異常伸展反應（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Decerabate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</w:tr>
      <w:tr w:rsidR="00000000">
        <w:trPr>
          <w:divId w:val="670374905"/>
        </w:trPr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無肢體反應（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 response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</w:tbl>
    <w:p w:rsidR="00EA6C66" w:rsidRDefault="00EA6C66">
      <w:pPr>
        <w:numPr>
          <w:ilvl w:val="0"/>
          <w:numId w:val="3"/>
        </w:numPr>
        <w:spacing w:after="160" w:line="720" w:lineRule="atLeast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評估的是最佳肌肉力量，例如四肢癱瘓病人若能依照指示眨眼，評分則為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M6</w:t>
      </w:r>
    </w:p>
    <w:p w:rsidR="00EA6C66" w:rsidRDefault="00EA6C66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頭腦外傷分級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13-15</w:t>
      </w:r>
      <w:r>
        <w:rPr>
          <w:rFonts w:ascii="微軟正黑體" w:eastAsia="微軟正黑體" w:hAnsi="微軟正黑體" w:cs="Calibri" w:hint="eastAsia"/>
          <w:sz w:val="22"/>
          <w:szCs w:val="22"/>
        </w:rPr>
        <w:t>：輕度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9-12</w:t>
      </w:r>
      <w:r>
        <w:rPr>
          <w:rFonts w:ascii="微軟正黑體" w:eastAsia="微軟正黑體" w:hAnsi="微軟正黑體" w:cs="Calibri" w:hint="eastAsia"/>
          <w:sz w:val="22"/>
          <w:szCs w:val="22"/>
        </w:rPr>
        <w:t>：中度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GCS 3-8</w:t>
      </w:r>
      <w:r>
        <w:rPr>
          <w:rFonts w:ascii="微軟正黑體" w:eastAsia="微軟正黑體" w:hAnsi="微軟正黑體" w:cs="Calibri" w:hint="eastAsia"/>
          <w:sz w:val="22"/>
          <w:szCs w:val="22"/>
        </w:rPr>
        <w:t>：重度</w:t>
      </w:r>
    </w:p>
    <w:p w:rsidR="00EA6C66" w:rsidRDefault="00EA6C66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特殊標記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若無法評估病人狀況（眼疾、無法言語），則不列入評分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cata</w:t>
      </w:r>
      <w:r>
        <w:rPr>
          <w:rFonts w:ascii="微軟正黑體" w:eastAsia="微軟正黑體" w:hAnsi="微軟正黑體" w:cs="Calibri" w:hint="eastAsia"/>
          <w:sz w:val="22"/>
          <w:szCs w:val="22"/>
        </w:rPr>
        <w:t>：白內障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E</w:t>
      </w:r>
      <w:r>
        <w:rPr>
          <w:rFonts w:ascii="微軟正黑體" w:eastAsia="微軟正黑體" w:hAnsi="微軟正黑體" w:cs="Calibri" w:hint="eastAsia"/>
          <w:sz w:val="22"/>
          <w:szCs w:val="22"/>
        </w:rPr>
        <w:t>：插管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T</w:t>
      </w:r>
      <w:r>
        <w:rPr>
          <w:rFonts w:ascii="微軟正黑體" w:eastAsia="微軟正黑體" w:hAnsi="微軟正黑體" w:cs="Calibri" w:hint="eastAsia"/>
          <w:sz w:val="22"/>
          <w:szCs w:val="22"/>
        </w:rPr>
        <w:t>：氣切</w:t>
      </w:r>
    </w:p>
    <w:p w:rsidR="00EA6C66" w:rsidRDefault="00EA6C66">
      <w:pPr>
        <w:numPr>
          <w:ilvl w:val="1"/>
          <w:numId w:val="4"/>
        </w:numPr>
        <w:spacing w:after="160" w:line="7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V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vertAlign w:val="subscript"/>
        </w:rPr>
        <w:t>A</w:t>
      </w:r>
      <w:r>
        <w:rPr>
          <w:rFonts w:ascii="微軟正黑體" w:eastAsia="微軟正黑體" w:hAnsi="微軟正黑體" w:cs="Calibri" w:hint="eastAsia"/>
          <w:sz w:val="22"/>
          <w:szCs w:val="22"/>
        </w:rPr>
        <w:t>：失語症（</w:t>
      </w:r>
      <w:r>
        <w:rPr>
          <w:rFonts w:ascii="微軟正黑體" w:eastAsia="微軟正黑體" w:hAnsi="微軟正黑體" w:cs="Calibri" w:hint="eastAsia"/>
          <w:sz w:val="22"/>
          <w:szCs w:val="22"/>
        </w:rPr>
        <w:t>Aphasia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EA6C66" w:rsidRDefault="00EA6C66">
      <w:pPr>
        <w:numPr>
          <w:ilvl w:val="0"/>
          <w:numId w:val="4"/>
        </w:numPr>
        <w:spacing w:after="160" w:line="720" w:lineRule="atLeast"/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處置</w:t>
      </w:r>
    </w:p>
    <w:p w:rsidR="00EA6C66" w:rsidRDefault="00EA6C66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參考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Brain Trauma Foundation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Advanced Trauma Life Support [ATLS]</w:t>
      </w:r>
      <w:r>
        <w:rPr>
          <w:rFonts w:ascii="微軟正黑體" w:eastAsia="微軟正黑體" w:hAnsi="微軟正黑體" w:cs="Calibri" w:hint="eastAsia"/>
          <w:sz w:val="22"/>
          <w:szCs w:val="22"/>
        </w:rPr>
        <w:t>、以及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神經重症處置建議等建議</w:t>
      </w:r>
    </w:p>
    <w:p w:rsidR="00EA6C66" w:rsidRDefault="00EA6C66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color w:val="9BBB5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輕度腦傷（</w:t>
      </w: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13-15</w:t>
      </w:r>
      <w:r>
        <w:rPr>
          <w:rFonts w:ascii="微軟正黑體" w:eastAsia="微軟正黑體" w:hAnsi="微軟正黑體" w:cs="Calibri" w:hint="eastAsia"/>
          <w:color w:val="9BBB59"/>
          <w:sz w:val="22"/>
          <w:szCs w:val="22"/>
        </w:rPr>
        <w:t>分）</w:t>
      </w:r>
    </w:p>
    <w:p w:rsidR="00EA6C66" w:rsidRDefault="00EA6C66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觀察是否有失憶、嘔吐、癲癇發作等</w:t>
      </w:r>
    </w:p>
    <w:p w:rsidR="00EA6C66" w:rsidRDefault="00EA6C66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若有危險徵象（頭痛惡化、神經學惡化等），考慮做腦部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CT</w:t>
      </w:r>
    </w:p>
    <w:p w:rsidR="00EA6C66" w:rsidRDefault="00EA6C66">
      <w:pPr>
        <w:numPr>
          <w:ilvl w:val="2"/>
          <w:numId w:val="4"/>
        </w:numPr>
        <w:spacing w:after="16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通常可門診追蹤</w:t>
      </w:r>
    </w:p>
    <w:p w:rsidR="00EA6C66" w:rsidRDefault="00EA6C66">
      <w:pPr>
        <w:numPr>
          <w:ilvl w:val="1"/>
          <w:numId w:val="4"/>
        </w:numPr>
        <w:spacing w:after="160" w:line="820" w:lineRule="atLeast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中度腦傷（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9-12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分）</w:t>
      </w:r>
    </w:p>
    <w:p w:rsidR="00EA6C66" w:rsidRDefault="00EA6C66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應住院觀察與監測</w:t>
      </w:r>
    </w:p>
    <w:p w:rsidR="00EA6C66" w:rsidRDefault="00EA6C66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建議做頭部</w:t>
      </w:r>
      <w:r>
        <w:rPr>
          <w:rFonts w:ascii="微軟正黑體" w:eastAsia="微軟正黑體" w:hAnsi="微軟正黑體" w:cs="Calibri" w:hint="eastAsia"/>
          <w:sz w:val="22"/>
          <w:szCs w:val="22"/>
        </w:rPr>
        <w:t>CT</w:t>
      </w:r>
    </w:p>
    <w:p w:rsidR="00EA6C66" w:rsidRDefault="00EA6C66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監測顱內壓（</w:t>
      </w: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）與神經學變化</w:t>
      </w:r>
    </w:p>
    <w:p w:rsidR="00EA6C66" w:rsidRDefault="00EA6C66">
      <w:pPr>
        <w:numPr>
          <w:ilvl w:val="2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若有惡化風險，考慮轉送神經外科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加護病房</w:t>
      </w:r>
    </w:p>
    <w:p w:rsidR="00EA6C66" w:rsidRDefault="00EA6C66">
      <w:pPr>
        <w:numPr>
          <w:ilvl w:val="1"/>
          <w:numId w:val="4"/>
        </w:numPr>
        <w:spacing w:before="100" w:after="100"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重度腦傷（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分）</w:t>
      </w:r>
    </w:p>
    <w:p w:rsidR="00EA6C66" w:rsidRDefault="00EA6C66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定義為昏迷狀態</w:t>
      </w:r>
    </w:p>
    <w:p w:rsidR="00EA6C66" w:rsidRDefault="00EA6C66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立即氣管插管，確保氣道通暢</w:t>
      </w:r>
    </w:p>
    <w:p w:rsidR="00EA6C66" w:rsidRDefault="00EA6C66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安排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緊急腦部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CT</w:t>
      </w:r>
    </w:p>
    <w:p w:rsidR="00EA6C66" w:rsidRDefault="00EA6C66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入加護病房觀察、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ICP 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EA6C66" w:rsidRDefault="00EA6C66">
      <w:pPr>
        <w:numPr>
          <w:ilvl w:val="2"/>
          <w:numId w:val="4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依據影像結果決定是否手術減壓，並合併神經科或神外會診</w:t>
      </w:r>
    </w:p>
    <w:p w:rsidR="00EA6C66" w:rsidRDefault="00EA6C66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/>
          <w:color w:val="1C427D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C427D"/>
          <w:sz w:val="32"/>
          <w:szCs w:val="32"/>
        </w:rPr>
        <w:t> </w:t>
      </w:r>
    </w:p>
    <w:p w:rsidR="00EA6C66" w:rsidRDefault="00EA6C66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 w:hint="eastAsia"/>
          <w:color w:val="1C427D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1C427D"/>
          <w:sz w:val="32"/>
          <w:szCs w:val="32"/>
        </w:rPr>
        <w:t>Full Outline of UnResponsiveness (FOUR) score</w:t>
      </w:r>
    </w:p>
    <w:p w:rsidR="00EA6C66" w:rsidRDefault="00EA6C66">
      <w:pPr>
        <w:numPr>
          <w:ilvl w:val="0"/>
          <w:numId w:val="5"/>
        </w:numPr>
        <w:spacing w:line="8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FOUR score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優於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GCS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之處在於可評估無法睜眼或插管病人</w:t>
      </w:r>
    </w:p>
    <w:p w:rsidR="00EA6C66" w:rsidRDefault="00EA6C66">
      <w:pPr>
        <w:numPr>
          <w:ilvl w:val="0"/>
          <w:numId w:val="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特別適合用於判斷神經科重症病人，如腦出血、顱內高壓、腦幹功能等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09"/>
        <w:gridCol w:w="929"/>
        <w:gridCol w:w="3568"/>
      </w:tblGrid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描述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眼睛反應（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Eye Response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自主睜眼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 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對聲音睜眼</w:t>
            </w:r>
          </w:p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對疼痛睜眼</w:t>
            </w:r>
          </w:p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無睜眼反應</w:t>
            </w:r>
          </w:p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眼瞼不可睜開（如因腫脹、外傷）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運動反應（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Motor Response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遵從指令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局部反應於疼痛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去皮質姿勢（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Decorticate Posturing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去腦姿勢（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Decerebrate Posturing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無反應（無動作）</w:t>
            </w:r>
          </w:p>
        </w:tc>
      </w:tr>
      <w:tr w:rsidR="00000000">
        <w:trPr>
          <w:divId w:val="77293070"/>
        </w:trPr>
        <w:tc>
          <w:tcPr>
            <w:tcW w:w="3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腦幹反射（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Brainstem Reflexes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瞳孔、角膜反射與咳嗽反射皆正常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一項反射缺失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兩項反射缺失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僅有瞳孔反射存在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所有腦幹反射皆缺失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呼吸模式（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Respiration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  <w:lang w:val="en-GB"/>
              </w:rPr>
              <w:t>）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自主呼吸（可配合呼吸器）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間歇自主呼吸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阿托式呼吸（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Ataxic breathing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無呼吸但對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CO</w:t>
            </w:r>
            <w:r>
              <w:rPr>
                <w:rFonts w:ascii="Cambria Math" w:eastAsia="微軟正黑體" w:hAnsi="Cambria Math" w:cs="Cambria Math"/>
                <w:sz w:val="22"/>
                <w:szCs w:val="22"/>
                <w:lang w:val="en-GB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有反應</w:t>
            </w:r>
          </w:p>
        </w:tc>
      </w:tr>
      <w:tr w:rsidR="00000000">
        <w:trPr>
          <w:divId w:val="77293070"/>
        </w:trPr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E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C66" w:rsidRDefault="00EA6C66">
            <w:pPr>
              <w:pStyle w:val="Web"/>
              <w:spacing w:before="0" w:beforeAutospacing="0" w:after="0" w:afterAutospacing="0" w:line="720" w:lineRule="atLeast"/>
              <w:rPr>
                <w:rFonts w:ascii="微軟正黑體" w:eastAsia="微軟正黑體" w:hAnsi="微軟正黑體"/>
                <w:sz w:val="22"/>
                <w:szCs w:val="22"/>
                <w:lang w:val="en-GB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  <w:lang w:val="en-GB"/>
              </w:rPr>
              <w:t>無自主呼吸（完全無反應）</w:t>
            </w:r>
          </w:p>
        </w:tc>
      </w:tr>
    </w:tbl>
    <w:p w:rsidR="00EA6C66" w:rsidRDefault="00EA6C66">
      <w:pPr>
        <w:pStyle w:val="Web"/>
        <w:spacing w:before="0" w:beforeAutospacing="0" w:after="0" w:afterAutospacing="0" w:line="720" w:lineRule="atLeast"/>
        <w:rPr>
          <w:rFonts w:ascii="微軟正黑體" w:eastAsia="微軟正黑體" w:hAnsi="微軟正黑體" w:cs="Calibri" w:hint="eastAsia"/>
          <w:color w:val="1C427D"/>
          <w:sz w:val="30"/>
          <w:szCs w:val="30"/>
        </w:rPr>
      </w:pPr>
      <w:r>
        <w:rPr>
          <w:rFonts w:ascii="微軟正黑體" w:eastAsia="微軟正黑體" w:hAnsi="微軟正黑體" w:cs="Calibri" w:hint="eastAsia"/>
          <w:color w:val="1C427D"/>
          <w:sz w:val="30"/>
          <w:szCs w:val="30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6C66" w:rsidRDefault="00EA6C66" w:rsidP="00EA6C66">
      <w:r>
        <w:separator/>
      </w:r>
    </w:p>
  </w:endnote>
  <w:endnote w:type="continuationSeparator" w:id="0">
    <w:p w:rsidR="00EA6C66" w:rsidRDefault="00EA6C66" w:rsidP="00EA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6C66" w:rsidRDefault="00EA6C66" w:rsidP="00EA6C66">
      <w:r>
        <w:separator/>
      </w:r>
    </w:p>
  </w:footnote>
  <w:footnote w:type="continuationSeparator" w:id="0">
    <w:p w:rsidR="00EA6C66" w:rsidRDefault="00EA6C66" w:rsidP="00EA6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F21"/>
    <w:multiLevelType w:val="multilevel"/>
    <w:tmpl w:val="F75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D544C"/>
    <w:multiLevelType w:val="multilevel"/>
    <w:tmpl w:val="5EE018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304AD3"/>
    <w:multiLevelType w:val="multilevel"/>
    <w:tmpl w:val="A5E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104990"/>
    <w:multiLevelType w:val="multilevel"/>
    <w:tmpl w:val="DBF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D05AC"/>
    <w:multiLevelType w:val="multilevel"/>
    <w:tmpl w:val="79B4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645351">
    <w:abstractNumId w:val="0"/>
  </w:num>
  <w:num w:numId="2" w16cid:durableId="1238442900">
    <w:abstractNumId w:val="4"/>
  </w:num>
  <w:num w:numId="3" w16cid:durableId="2043823586">
    <w:abstractNumId w:val="1"/>
  </w:num>
  <w:num w:numId="4" w16cid:durableId="2107144695">
    <w:abstractNumId w:val="2"/>
  </w:num>
  <w:num w:numId="5" w16cid:durableId="9914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66"/>
    <w:rsid w:val="001D27F9"/>
    <w:rsid w:val="00EA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174F29-CEC2-467E-BE58-5CCAF6D9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A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6C6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A6C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6C6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