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6DCA" w:rsidRDefault="00746DC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內分泌疾病</w:t>
      </w:r>
    </w:p>
    <w:p w:rsidR="00746DCA" w:rsidRDefault="00746DC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46DCA" w:rsidRDefault="00746DC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746DCA" w:rsidRDefault="00746DC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6DCA" w:rsidRDefault="00746DC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746DCA" w:rsidRDefault="00746DC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746DCA" w:rsidRDefault="00746DC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佝僂症</w:t>
      </w:r>
      <w:r>
        <w:rPr>
          <w:rFonts w:ascii="微軟正黑體" w:eastAsia="微軟正黑體" w:hAnsi="微軟正黑體" w:cs="Calibri" w:hint="eastAsia"/>
          <w:sz w:val="22"/>
          <w:szCs w:val="22"/>
        </w:rPr>
        <w:t>(Rickets)</w:t>
      </w:r>
    </w:p>
    <w:p w:rsidR="00746DCA" w:rsidRDefault="00746DC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腎上腺一先天性腎上腺增生</w:t>
      </w:r>
    </w:p>
    <w:p w:rsidR="00746DCA" w:rsidRDefault="00746DC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兒童糖尿病</w:t>
      </w:r>
    </w:p>
    <w:p w:rsidR="00746DCA" w:rsidRDefault="00746DC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性早熟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(Pubertal Development)</w:t>
      </w:r>
    </w:p>
    <w:p w:rsidR="00746DCA" w:rsidRDefault="00746DC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身材矮小</w:t>
      </w:r>
      <w:r>
        <w:rPr>
          <w:rFonts w:ascii="微軟正黑體" w:eastAsia="微軟正黑體" w:hAnsi="微軟正黑體" w:cs="Calibri" w:hint="eastAsia"/>
          <w:sz w:val="22"/>
          <w:szCs w:val="22"/>
        </w:rPr>
        <w:t>(Short Stature)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6DCA" w:rsidRDefault="00746DCA" w:rsidP="00746DCA">
      <w:r>
        <w:separator/>
      </w:r>
    </w:p>
  </w:endnote>
  <w:endnote w:type="continuationSeparator" w:id="0">
    <w:p w:rsidR="00746DCA" w:rsidRDefault="00746DCA" w:rsidP="0074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6DCA" w:rsidRDefault="00746DCA" w:rsidP="00746DCA">
      <w:r>
        <w:separator/>
      </w:r>
    </w:p>
  </w:footnote>
  <w:footnote w:type="continuationSeparator" w:id="0">
    <w:p w:rsidR="00746DCA" w:rsidRDefault="00746DCA" w:rsidP="00746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9616D"/>
    <w:multiLevelType w:val="multilevel"/>
    <w:tmpl w:val="048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47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CA"/>
    <w:rsid w:val="00746DCA"/>
    <w:rsid w:val="007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CB825E-0CE5-4712-B1FD-22D17396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46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6DC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46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6DC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