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68FD" w:rsidRDefault="000868F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新生兒感染感染</w:t>
      </w:r>
    </w:p>
    <w:p w:rsidR="000868FD" w:rsidRDefault="000868F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868FD" w:rsidRDefault="000868F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p w:rsidR="000868FD" w:rsidRDefault="000868F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868FD" w:rsidRDefault="000868F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868FD" w:rsidRDefault="000868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868FD" w:rsidRDefault="000868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868FD" w:rsidRDefault="000868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868FD" w:rsidRDefault="000868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868FD" w:rsidRDefault="000868FD">
      <w:pPr>
        <w:numPr>
          <w:ilvl w:val="1"/>
          <w:numId w:val="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22"/>
          <w:szCs w:val="22"/>
        </w:rPr>
        <w:t> </w:t>
      </w:r>
    </w:p>
    <w:p w:rsidR="000868FD" w:rsidRDefault="000868FD">
      <w:pPr>
        <w:numPr>
          <w:ilvl w:val="1"/>
          <w:numId w:val="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新生兒感染：</w:t>
      </w:r>
    </w:p>
    <w:p w:rsidR="000868FD" w:rsidRDefault="000868FD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TORCH infection</w:t>
      </w:r>
    </w:p>
    <w:p w:rsidR="000868FD" w:rsidRDefault="000868F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臨床非特異表現：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IUGR(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子宮內胎兒生長遲滯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 xml:space="preserve">)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、肝脾腫大、心臟肥大、胎兒水腫</w:t>
      </w:r>
    </w:p>
    <w:p w:rsidR="000868FD" w:rsidRDefault="000868FD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弓漿蟲病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(Toxoplasmosis)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&amp;</w:t>
      </w:r>
      <w:r>
        <w:rPr>
          <w:rFonts w:ascii="微軟正黑體" w:eastAsia="微軟正黑體" w:hAnsi="微軟正黑體" w:cs="Calibri" w:hint="eastAsia"/>
          <w:sz w:val="22"/>
          <w:szCs w:val="22"/>
        </w:rPr>
        <w:t>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3"/>
        </w:numPr>
        <w:spacing w:before="60" w:after="6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hd w:val="clear" w:color="auto" w:fill="FFFFFF"/>
        </w:rPr>
        <w:t>貓屎</w:t>
      </w:r>
    </w:p>
    <w:p w:rsidR="000868FD" w:rsidRDefault="000868FD">
      <w:pPr>
        <w:numPr>
          <w:ilvl w:val="3"/>
          <w:numId w:val="3"/>
        </w:numPr>
        <w:spacing w:before="60" w:after="60"/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胎盤感染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大多於孕晚期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)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: 4C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Cerebral calcifications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(ring-enhancing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CMV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Chorioretinitis(posterior uveitis)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hydroCephalus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Convulsions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Step 1</w:t>
      </w:r>
      <w:r>
        <w:rPr>
          <w:rFonts w:ascii="微軟正黑體" w:eastAsia="微軟正黑體" w:hAnsi="微軟正黑體" w:cs="Calibri" w:hint="eastAsia"/>
          <w:sz w:val="22"/>
          <w:szCs w:val="22"/>
        </w:rPr>
        <w:t>：查看母親體內有無</w:t>
      </w:r>
      <w:r>
        <w:rPr>
          <w:rFonts w:ascii="微軟正黑體" w:eastAsia="微軟正黑體" w:hAnsi="微軟正黑體" w:cs="Calibri" w:hint="eastAsia"/>
          <w:sz w:val="22"/>
          <w:szCs w:val="22"/>
        </w:rPr>
        <w:t>Toxoplasma-IGM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Step 2</w:t>
      </w:r>
      <w:r>
        <w:rPr>
          <w:rFonts w:ascii="微軟正黑體" w:eastAsia="微軟正黑體" w:hAnsi="微軟正黑體" w:cs="Calibri" w:hint="eastAsia"/>
          <w:sz w:val="22"/>
          <w:szCs w:val="22"/>
        </w:rPr>
        <w:t>：胎兒期羊水</w:t>
      </w:r>
      <w:r>
        <w:rPr>
          <w:rFonts w:ascii="微軟正黑體" w:eastAsia="微軟正黑體" w:hAnsi="微軟正黑體" w:cs="Calibri" w:hint="eastAsia"/>
          <w:sz w:val="22"/>
          <w:szCs w:val="22"/>
        </w:rPr>
        <w:t>PCR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Step 3 </w:t>
      </w:r>
      <w:r>
        <w:rPr>
          <w:rFonts w:ascii="微軟正黑體" w:eastAsia="微軟正黑體" w:hAnsi="微軟正黑體" w:cs="Calibri" w:hint="eastAsia"/>
          <w:sz w:val="22"/>
          <w:szCs w:val="22"/>
        </w:rPr>
        <w:t>：新生兒時期</w:t>
      </w:r>
    </w:p>
    <w:p w:rsidR="000868FD" w:rsidRDefault="000868FD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</w:t>
      </w:r>
      <w:r>
        <w:rPr>
          <w:rFonts w:ascii="微軟正黑體" w:eastAsia="微軟正黑體" w:hAnsi="微軟正黑體" w:cs="Calibri" w:hint="eastAsia"/>
          <w:sz w:val="22"/>
          <w:szCs w:val="22"/>
        </w:rPr>
        <w:t>(CT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MRI)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</w:t>
      </w:r>
      <w:r>
        <w:rPr>
          <w:rFonts w:ascii="微軟正黑體" w:eastAsia="微軟正黑體" w:hAnsi="微軟正黑體" w:cs="Calibri" w:hint="eastAsia"/>
          <w:sz w:val="22"/>
          <w:szCs w:val="22"/>
        </w:rPr>
        <w:t>4C</w:t>
      </w:r>
      <w:r>
        <w:rPr>
          <w:rFonts w:ascii="微軟正黑體" w:eastAsia="微軟正黑體" w:hAnsi="微軟正黑體" w:cs="Calibri" w:hint="eastAsia"/>
          <w:sz w:val="22"/>
          <w:szCs w:val="22"/>
        </w:rPr>
        <w:t>表現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(Chorioretinitis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需另照會眼科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0868FD" w:rsidRDefault="000868FD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腦脊髓液、血液</w:t>
      </w:r>
      <w:r>
        <w:rPr>
          <w:rFonts w:ascii="微軟正黑體" w:eastAsia="微軟正黑體" w:hAnsi="微軟正黑體" w:cs="Calibri" w:hint="eastAsia"/>
          <w:sz w:val="22"/>
          <w:szCs w:val="22"/>
        </w:rPr>
        <w:t>IGM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PCR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Pyrimethamine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sulfadiazine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 folinic acid</w:t>
      </w:r>
    </w:p>
    <w:p w:rsidR="000868FD" w:rsidRDefault="000868F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Rubella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&amp;</w:t>
      </w:r>
      <w:r>
        <w:rPr>
          <w:rFonts w:ascii="微軟正黑體" w:eastAsia="微軟正黑體" w:hAnsi="微軟正黑體" w:cs="Calibri" w:hint="eastAsia"/>
          <w:sz w:val="22"/>
          <w:szCs w:val="22"/>
        </w:rPr>
        <w:t>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5"/>
        </w:numPr>
        <w:spacing w:before="60" w:after="6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hd w:val="clear" w:color="auto" w:fill="FFFFFF"/>
        </w:rPr>
        <w:t>第一孕期最容易傳染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最常見的是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PDA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artery stenosis</w:t>
      </w:r>
    </w:p>
    <w:p w:rsidR="000868FD" w:rsidRDefault="000868FD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白內障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Retinopathy</w:t>
      </w:r>
    </w:p>
    <w:p w:rsidR="000868FD" w:rsidRDefault="000868FD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Deafness(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聽力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0868FD" w:rsidRDefault="000868FD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上面三個症狀合併為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Rubella classic triad</w:t>
      </w:r>
    </w:p>
    <w:p w:rsidR="000868FD" w:rsidRDefault="000868FD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Thrombocytopenia</w:t>
      </w:r>
    </w:p>
    <w:p w:rsidR="000868FD" w:rsidRDefault="000868FD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發燒、疲倦、鼻咽癌、耳後淋巴腫大、全身性皮疹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羊水檢測</w:t>
      </w:r>
      <w:r>
        <w:rPr>
          <w:rFonts w:ascii="微軟正黑體" w:eastAsia="微軟正黑體" w:hAnsi="微軟正黑體" w:cs="Calibri" w:hint="eastAsia"/>
          <w:sz w:val="22"/>
          <w:szCs w:val="22"/>
        </w:rPr>
        <w:t>IGM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</w:t>
      </w:r>
      <w:r>
        <w:rPr>
          <w:rFonts w:ascii="微軟正黑體" w:eastAsia="微軟正黑體" w:hAnsi="微軟正黑體" w:cs="Calibri" w:hint="eastAsia"/>
          <w:sz w:val="22"/>
          <w:szCs w:val="22"/>
        </w:rPr>
        <w:t>PCR-RNA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Supportive care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0868FD" w:rsidRDefault="000868F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巨細胞病毒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 CMV)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&amp;</w:t>
      </w:r>
      <w:r>
        <w:rPr>
          <w:rFonts w:ascii="微軟正黑體" w:eastAsia="微軟正黑體" w:hAnsi="微軟正黑體" w:cs="Calibri" w:hint="eastAsia"/>
          <w:sz w:val="22"/>
          <w:szCs w:val="22"/>
        </w:rPr>
        <w:t>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垂直傳染率：</w:t>
      </w:r>
    </w:p>
    <w:p w:rsidR="000868FD" w:rsidRDefault="000868F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1st/2nd trimester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30-40%</w:t>
      </w:r>
    </w:p>
    <w:p w:rsidR="000868FD" w:rsidRDefault="000868F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3rd trimester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40-72%</w:t>
      </w:r>
    </w:p>
    <w:p w:rsidR="000868FD" w:rsidRDefault="000868F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生產過程</w:t>
      </w:r>
    </w:p>
    <w:p w:rsidR="000868FD" w:rsidRDefault="000868F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母乳哺餵</w:t>
      </w:r>
    </w:p>
    <w:p w:rsidR="000868FD" w:rsidRDefault="000868F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重症率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1st trimester 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感染者無症狀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Periventricular calcification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Hydrocephalus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Microcephaly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Sensorineural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hearing loss(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聽力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Thrombocytopenia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Chorioretinitis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考慮篩檢情形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: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腦室擴大、腦室周圍神經組織鈣化、小腦症、肝臟鈣化、高回音腸道、生長遲滯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: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Ganciclovir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valganciclovir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foscarnet</w:t>
      </w:r>
    </w:p>
    <w:p w:rsidR="000868FD" w:rsidRDefault="000868FD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懷孕期間只能用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 valacyclovir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 </w:t>
      </w:r>
    </w:p>
    <w:p w:rsidR="000868FD" w:rsidRDefault="000868F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HSV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水泡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心肌炎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Hepatitis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Pneumonitis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Keratoconjunctivitis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Mucocutaneous lesions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Encephalitis</w:t>
      </w:r>
    </w:p>
    <w:p w:rsidR="000868FD" w:rsidRDefault="000868F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DIC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0868FD" w:rsidRDefault="000868F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</w:t>
      </w:r>
      <w:r>
        <w:rPr>
          <w:rFonts w:ascii="微軟正黑體" w:eastAsia="微軟正黑體" w:hAnsi="微軟正黑體" w:cs="Calibri" w:hint="eastAsia"/>
          <w:sz w:val="22"/>
          <w:szCs w:val="22"/>
        </w:rPr>
        <w:t>IgM</w:t>
      </w:r>
      <w:r>
        <w:rPr>
          <w:rFonts w:ascii="微軟正黑體" w:eastAsia="微軟正黑體" w:hAnsi="微軟正黑體" w:cs="Calibri" w:hint="eastAsia"/>
          <w:sz w:val="22"/>
          <w:szCs w:val="22"/>
        </w:rPr>
        <w:t>檢查：</w:t>
      </w:r>
      <w:r>
        <w:rPr>
          <w:rFonts w:ascii="微軟正黑體" w:eastAsia="微軟正黑體" w:hAnsi="微軟正黑體" w:cs="Calibri" w:hint="eastAsia"/>
          <w:sz w:val="22"/>
          <w:szCs w:val="22"/>
        </w:rPr>
        <w:t>Toxoplasmosis</w:t>
      </w:r>
    </w:p>
    <w:p w:rsidR="000868FD" w:rsidRDefault="000868F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Tzanck smear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HSV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VZV(</w:t>
      </w:r>
      <w:r>
        <w:rPr>
          <w:rFonts w:ascii="微軟正黑體" w:eastAsia="微軟正黑體" w:hAnsi="微軟正黑體" w:cs="Calibri" w:hint="eastAsia"/>
          <w:sz w:val="22"/>
          <w:szCs w:val="22"/>
        </w:rPr>
        <w:t>針對有</w:t>
      </w:r>
      <w:r>
        <w:rPr>
          <w:rFonts w:ascii="微軟正黑體" w:eastAsia="微軟正黑體" w:hAnsi="微軟正黑體" w:cs="Calibri" w:hint="eastAsia"/>
          <w:sz w:val="22"/>
          <w:szCs w:val="22"/>
        </w:rPr>
        <w:t>skin lesions)</w:t>
      </w:r>
    </w:p>
    <w:p w:rsidR="000868FD" w:rsidRDefault="000868F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Urine antigen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culture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CMV</w:t>
      </w:r>
    </w:p>
    <w:p w:rsidR="000868FD" w:rsidRDefault="000868F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HBV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HBs-Ag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HBs-Ab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HBc-Ag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HBc-Ab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liver enzymes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bililubin</w:t>
      </w:r>
    </w:p>
    <w:p w:rsidR="000868FD" w:rsidRDefault="000868F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Pathogen culture</w:t>
      </w:r>
    </w:p>
    <w:p w:rsidR="000868FD" w:rsidRDefault="000868F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治療及預防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13"/>
        </w:numPr>
        <w:textAlignment w:val="center"/>
        <w:rPr>
          <w:rFonts w:ascii="Calibri" w:hAnsi="Calibri" w:cs="Calibri"/>
          <w:color w:val="92D05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 Acyclovir or valacyclovir</w:t>
      </w:r>
    </w:p>
    <w:p w:rsidR="000868FD" w:rsidRDefault="000868FD">
      <w:pPr>
        <w:numPr>
          <w:ilvl w:val="3"/>
          <w:numId w:val="13"/>
        </w:numPr>
        <w:textAlignment w:val="center"/>
        <w:rPr>
          <w:rFonts w:ascii="Calibri" w:hAnsi="Calibri" w:cs="Calibri"/>
          <w:color w:val="92D05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對於確認感染之孕婦於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 xml:space="preserve">GA 36 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週時可預防性給予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acyclovir</w:t>
      </w:r>
    </w:p>
    <w:p w:rsidR="000868FD" w:rsidRDefault="000868FD">
      <w:pPr>
        <w:numPr>
          <w:ilvl w:val="3"/>
          <w:numId w:val="13"/>
        </w:numPr>
        <w:textAlignment w:val="center"/>
        <w:rPr>
          <w:rFonts w:ascii="Calibri" w:hAnsi="Calibri" w:cs="Calibri"/>
          <w:color w:val="92D05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若有陰部感染之孕婦可考慮剖腹產</w:t>
      </w:r>
    </w:p>
    <w:p w:rsidR="000868FD" w:rsidRDefault="000868FD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聽力受損的鑑別診斷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0868FD" w:rsidRDefault="000868F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sz w:val="22"/>
          <w:szCs w:val="22"/>
        </w:rPr>
        <w:t>CMV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Rubella</w:t>
      </w:r>
      <w:r>
        <w:rPr>
          <w:rFonts w:ascii="微軟正黑體" w:eastAsia="微軟正黑體" w:hAnsi="微軟正黑體" w:cs="Calibri" w:hint="eastAsia"/>
          <w:sz w:val="22"/>
          <w:szCs w:val="22"/>
        </w:rPr>
        <w:t>、腦膜炎</w:t>
      </w:r>
    </w:p>
    <w:p w:rsidR="000868FD" w:rsidRDefault="000868F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耳毒性藥物</w:t>
      </w:r>
    </w:p>
    <w:p w:rsidR="000868FD" w:rsidRDefault="000868F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Other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Syphillis/Varicella</w:t>
      </w:r>
      <w:r>
        <w:rPr>
          <w:rFonts w:ascii="微軟正黑體" w:eastAsia="微軟正黑體" w:hAnsi="微軟正黑體" w:cs="Calibri" w:hint="eastAsia"/>
          <w:sz w:val="22"/>
          <w:szCs w:val="22"/>
        </w:rPr>
        <w:t>皆有皮膚症狀、視網膜脈絡膜炎、肝脾腫大</w:t>
      </w:r>
    </w:p>
    <w:p w:rsidR="000868FD" w:rsidRDefault="000868F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Syphilis</w:t>
      </w:r>
      <w:r>
        <w:rPr>
          <w:rFonts w:ascii="微軟正黑體" w:eastAsia="微軟正黑體" w:hAnsi="微軟正黑體" w:cs="Calibri" w:hint="eastAsia"/>
          <w:sz w:val="22"/>
          <w:szCs w:val="22"/>
        </w:rPr>
        <w:t>：青光眼、</w:t>
      </w:r>
      <w:r>
        <w:rPr>
          <w:rFonts w:ascii="微軟正黑體" w:eastAsia="微軟正黑體" w:hAnsi="微軟正黑體" w:cs="Calibri" w:hint="eastAsia"/>
          <w:sz w:val="22"/>
          <w:szCs w:val="22"/>
        </w:rPr>
        <w:t>Mucocutaneous lesions(snuffles)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periostitis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osteochondritis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rash</w:t>
      </w:r>
    </w:p>
    <w:p w:rsidR="000868FD" w:rsidRDefault="000868F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Varicella</w:t>
      </w:r>
      <w:r>
        <w:rPr>
          <w:rFonts w:ascii="微軟正黑體" w:eastAsia="微軟正黑體" w:hAnsi="微軟正黑體" w:cs="Calibri" w:hint="eastAsia"/>
          <w:sz w:val="22"/>
          <w:szCs w:val="22"/>
        </w:rPr>
        <w:t>：瘢痕</w:t>
      </w:r>
      <w:r>
        <w:rPr>
          <w:rFonts w:ascii="微軟正黑體" w:eastAsia="微軟正黑體" w:hAnsi="微軟正黑體" w:cs="Calibri" w:hint="eastAsia"/>
          <w:sz w:val="22"/>
          <w:szCs w:val="22"/>
        </w:rPr>
        <w:t>(cicatrix)</w:t>
      </w:r>
      <w:r>
        <w:rPr>
          <w:rFonts w:ascii="微軟正黑體" w:eastAsia="微軟正黑體" w:hAnsi="微軟正黑體" w:cs="Calibri" w:hint="eastAsia"/>
          <w:sz w:val="22"/>
          <w:szCs w:val="22"/>
        </w:rPr>
        <w:t>、小眼球、肢體發育不良</w:t>
      </w:r>
    </w:p>
    <w:p w:rsidR="000868FD" w:rsidRDefault="000868F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Parvovirus B19</w:t>
      </w:r>
      <w:r>
        <w:rPr>
          <w:rFonts w:ascii="微軟正黑體" w:eastAsia="微軟正黑體" w:hAnsi="微軟正黑體" w:cs="Calibri" w:hint="eastAsia"/>
          <w:sz w:val="22"/>
          <w:szCs w:val="22"/>
        </w:rPr>
        <w:t>：胎兒水腫、貧血</w:t>
      </w:r>
    </w:p>
    <w:p w:rsidR="000868FD" w:rsidRDefault="000868FD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新生兒細菌感染</w:t>
      </w:r>
    </w:p>
    <w:p w:rsidR="000868FD" w:rsidRDefault="000868FD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陰道病原菌</w:t>
      </w:r>
    </w:p>
    <w:p w:rsidR="000868FD" w:rsidRDefault="000868FD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0868FD" w:rsidRDefault="000868FD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GA35-37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  <w:r>
        <w:rPr>
          <w:rFonts w:ascii="微軟正黑體" w:eastAsia="微軟正黑體" w:hAnsi="微軟正黑體" w:cs="Calibri" w:hint="eastAsia"/>
          <w:sz w:val="22"/>
          <w:szCs w:val="22"/>
        </w:rPr>
        <w:t>篩檢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0868FD" w:rsidRDefault="000868FD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需於陰道產前</w:t>
      </w:r>
      <w:r>
        <w:rPr>
          <w:rFonts w:ascii="微軟正黑體" w:eastAsia="微軟正黑體" w:hAnsi="微軟正黑體" w:cs="Calibri" w:hint="eastAsia"/>
          <w:sz w:val="22"/>
          <w:szCs w:val="22"/>
        </w:rPr>
        <w:t>4hr IV</w:t>
      </w:r>
      <w:r>
        <w:rPr>
          <w:rFonts w:ascii="微軟正黑體" w:eastAsia="微軟正黑體" w:hAnsi="微軟正黑體" w:cs="Calibri" w:hint="eastAsia"/>
          <w:sz w:val="22"/>
          <w:szCs w:val="22"/>
        </w:rPr>
        <w:t>打預防性抗生素適應症</w:t>
      </w:r>
    </w:p>
    <w:p w:rsidR="000868FD" w:rsidRDefault="000868FD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E. coli</w:t>
      </w:r>
    </w:p>
    <w:p w:rsidR="000868FD" w:rsidRDefault="000868FD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李斯特菌</w:t>
      </w:r>
      <w:r>
        <w:rPr>
          <w:rFonts w:ascii="微軟正黑體" w:eastAsia="微軟正黑體" w:hAnsi="微軟正黑體" w:cs="Calibri" w:hint="eastAsia"/>
          <w:sz w:val="22"/>
          <w:szCs w:val="22"/>
        </w:rPr>
        <w:t>(Listeria monocytogenes)</w:t>
      </w:r>
    </w:p>
    <w:p w:rsidR="000868FD" w:rsidRDefault="000868FD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泌尿道感染：</w:t>
      </w:r>
    </w:p>
    <w:p w:rsidR="000868FD" w:rsidRDefault="000868FD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E . coli 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Klebsiella pneumoniae 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Proteus mirabilis</w:t>
      </w:r>
    </w:p>
    <w:p w:rsidR="000868FD" w:rsidRDefault="000868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依發生時間區分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早發、晚發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0868FD" w:rsidRDefault="000868FD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早發性感染</w:t>
      </w:r>
    </w:p>
    <w:p w:rsidR="000868FD" w:rsidRDefault="000868FD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</w:t>
      </w:r>
      <w:r>
        <w:rPr>
          <w:rFonts w:ascii="微軟正黑體" w:eastAsia="微軟正黑體" w:hAnsi="微軟正黑體" w:cs="Calibri" w:hint="eastAsia"/>
          <w:sz w:val="22"/>
          <w:szCs w:val="22"/>
        </w:rPr>
        <w:t>0~6</w:t>
      </w:r>
      <w:r>
        <w:rPr>
          <w:rFonts w:ascii="微軟正黑體" w:eastAsia="微軟正黑體" w:hAnsi="微軟正黑體" w:cs="Calibri" w:hint="eastAsia"/>
          <w:sz w:val="22"/>
          <w:szCs w:val="22"/>
        </w:rPr>
        <w:t>天</w:t>
      </w:r>
    </w:p>
    <w:p w:rsidR="000868FD" w:rsidRDefault="000868FD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絨毛膜羊膜炎</w:t>
      </w:r>
    </w:p>
    <w:p w:rsidR="000868FD" w:rsidRDefault="000868FD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</w:t>
      </w:r>
    </w:p>
    <w:p w:rsidR="000868FD" w:rsidRDefault="000868FD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母體陰道傳播</w:t>
      </w:r>
    </w:p>
    <w:p w:rsidR="000868FD" w:rsidRDefault="000868FD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UTI</w:t>
      </w:r>
    </w:p>
    <w:p w:rsidR="000868FD" w:rsidRDefault="000868FD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晚發性感染</w:t>
      </w:r>
    </w:p>
    <w:p w:rsidR="000868FD" w:rsidRDefault="000868FD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</w:t>
      </w:r>
      <w:r>
        <w:rPr>
          <w:rFonts w:ascii="微軟正黑體" w:eastAsia="微軟正黑體" w:hAnsi="微軟正黑體" w:cs="Calibri" w:hint="eastAsia"/>
          <w:sz w:val="22"/>
          <w:szCs w:val="22"/>
        </w:rPr>
        <w:t>7~90</w:t>
      </w:r>
      <w:r>
        <w:rPr>
          <w:rFonts w:ascii="微軟正黑體" w:eastAsia="微軟正黑體" w:hAnsi="微軟正黑體" w:cs="Calibri" w:hint="eastAsia"/>
          <w:sz w:val="22"/>
          <w:szCs w:val="22"/>
        </w:rPr>
        <w:t>天</w:t>
      </w:r>
    </w:p>
    <w:p w:rsidR="000868FD" w:rsidRDefault="000868FD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常見原因：</w:t>
      </w:r>
    </w:p>
    <w:p w:rsidR="000868FD" w:rsidRDefault="000868FD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院內感染</w:t>
      </w:r>
    </w:p>
    <w:p w:rsidR="000868FD" w:rsidRDefault="000868FD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通常非產科併發症所致</w:t>
      </w:r>
    </w:p>
    <w:p w:rsidR="000868FD" w:rsidRDefault="000868F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0868FD" w:rsidRDefault="000868FD">
      <w:pPr>
        <w:numPr>
          <w:ilvl w:val="4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penicillin G; </w:t>
      </w:r>
    </w:p>
    <w:p w:rsidR="000868FD" w:rsidRDefault="000868FD">
      <w:pPr>
        <w:numPr>
          <w:ilvl w:val="4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替代</w:t>
      </w:r>
      <w:r>
        <w:rPr>
          <w:rFonts w:ascii="微軟正黑體" w:eastAsia="微軟正黑體" w:hAnsi="微軟正黑體" w:cs="Calibri" w:hint="eastAsia"/>
          <w:sz w:val="22"/>
          <w:szCs w:val="22"/>
        </w:rPr>
        <w:t>:Ampicillin + gentamicin</w:t>
      </w:r>
    </w:p>
    <w:p w:rsidR="000868FD" w:rsidRDefault="000868FD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Supportive care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68FD" w:rsidRDefault="000868FD" w:rsidP="000868FD">
      <w:r>
        <w:separator/>
      </w:r>
    </w:p>
  </w:endnote>
  <w:endnote w:type="continuationSeparator" w:id="0">
    <w:p w:rsidR="000868FD" w:rsidRDefault="000868FD" w:rsidP="0008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68FD" w:rsidRDefault="000868FD" w:rsidP="000868FD">
      <w:r>
        <w:separator/>
      </w:r>
    </w:p>
  </w:footnote>
  <w:footnote w:type="continuationSeparator" w:id="0">
    <w:p w:rsidR="000868FD" w:rsidRDefault="000868FD" w:rsidP="00086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D6B"/>
    <w:multiLevelType w:val="multilevel"/>
    <w:tmpl w:val="22B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889984">
    <w:abstractNumId w:val="0"/>
  </w:num>
  <w:num w:numId="2" w16cid:durableId="1779829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143468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664388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3003092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6481712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 w16cid:durableId="8107098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 w16cid:durableId="20461276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 w16cid:durableId="18359968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14005139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" w16cid:durableId="139198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16266981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 w16cid:durableId="5176962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 w16cid:durableId="10961005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200582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13039267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89107057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8" w16cid:durableId="117083126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9" w16cid:durableId="25940918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84322967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 w16cid:durableId="25829980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2" w16cid:durableId="146212395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D"/>
    <w:rsid w:val="000868FD"/>
    <w:rsid w:val="0027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197C67-037B-477F-B2D8-9F7AC082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868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68F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868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68F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