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63EE" w:rsidRDefault="007863E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新生兒評估</w:t>
      </w:r>
      <w:r>
        <w:rPr>
          <w:rFonts w:ascii="Calibri" w:hAnsi="Calibri" w:cs="Calibri"/>
          <w:sz w:val="40"/>
          <w:szCs w:val="40"/>
        </w:rPr>
        <w:t>(Newborn PE)</w:t>
      </w:r>
    </w:p>
    <w:p w:rsidR="007863EE" w:rsidRDefault="007863E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7863EE" w:rsidRDefault="007863E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63EE" w:rsidRDefault="007863EE" w:rsidP="007863EE">
      <w:r>
        <w:separator/>
      </w:r>
    </w:p>
  </w:endnote>
  <w:endnote w:type="continuationSeparator" w:id="0">
    <w:p w:rsidR="007863EE" w:rsidRDefault="007863EE" w:rsidP="0078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63EE" w:rsidRDefault="007863EE" w:rsidP="007863EE">
      <w:r>
        <w:separator/>
      </w:r>
    </w:p>
  </w:footnote>
  <w:footnote w:type="continuationSeparator" w:id="0">
    <w:p w:rsidR="007863EE" w:rsidRDefault="007863EE" w:rsidP="00786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EE"/>
    <w:rsid w:val="001C553C"/>
    <w:rsid w:val="007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C0C99F4-8DD8-47E7-9CAA-B5BAD746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8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3E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86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3E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