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112F" w:rsidRDefault="0041112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氣喘</w:t>
      </w:r>
    </w:p>
    <w:p w:rsidR="0041112F" w:rsidRDefault="0041112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41112F" w:rsidRDefault="0041112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12:02 AM</w:t>
      </w:r>
    </w:p>
    <w:p w:rsidR="0041112F" w:rsidRDefault="0041112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1112F" w:rsidRDefault="0041112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41112F" w:rsidRDefault="0041112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sz w:val="32"/>
          <w:szCs w:val="32"/>
        </w:rPr>
        <w:t>Definition)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氣喘是一種可逆性支氣管收縮的疾病。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在兒童中常見，通常由過敏原觸發。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為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Type I </w:t>
      </w:r>
      <w:r>
        <w:rPr>
          <w:rFonts w:ascii="微軟正黑體" w:eastAsia="微軟正黑體" w:hAnsi="微軟正黑體" w:cs="Calibri" w:hint="eastAsia"/>
          <w:sz w:val="28"/>
          <w:szCs w:val="28"/>
        </w:rPr>
        <w:t>過敏反應。</w:t>
      </w:r>
    </w:p>
    <w:p w:rsidR="0041112F" w:rsidRDefault="0041112F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1112F" w:rsidRDefault="0041112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22"/>
        <w:gridCol w:w="5864"/>
      </w:tblGrid>
      <w:tr w:rsidR="00000000">
        <w:trPr>
          <w:divId w:val="276570048"/>
        </w:trPr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6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內容</w:t>
            </w:r>
          </w:p>
        </w:tc>
      </w:tr>
      <w:tr w:rsidR="00000000">
        <w:trPr>
          <w:divId w:val="276570048"/>
        </w:trPr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盛行率</w:t>
            </w:r>
          </w:p>
        </w:tc>
        <w:tc>
          <w:tcPr>
            <w:tcW w:w="6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全球約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億人，已開發國家兒童約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、成人約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12%</w:t>
            </w:r>
          </w:p>
        </w:tc>
      </w:tr>
      <w:tr w:rsidR="00000000">
        <w:trPr>
          <w:divId w:val="276570048"/>
        </w:trPr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年齡與性別</w:t>
            </w:r>
          </w:p>
        </w:tc>
        <w:tc>
          <w:tcPr>
            <w:tcW w:w="6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小兒男性較多，成人性別相等；部分兒童青春期後緩解，成人後再發者少數</w:t>
            </w:r>
          </w:p>
        </w:tc>
      </w:tr>
      <w:tr w:rsidR="00000000">
        <w:trPr>
          <w:divId w:val="276570048"/>
        </w:trPr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死亡率</w:t>
            </w:r>
          </w:p>
        </w:tc>
        <w:tc>
          <w:tcPr>
            <w:tcW w:w="6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已開發國家死亡率近年下降，與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使用普及有關</w:t>
            </w:r>
          </w:p>
        </w:tc>
      </w:tr>
    </w:tbl>
    <w:p w:rsidR="0041112F" w:rsidRDefault="0041112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1112F" w:rsidRDefault="0041112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病因與危險因子（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 &amp; Risk Factors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23"/>
        <w:gridCol w:w="3263"/>
      </w:tblGrid>
      <w:tr w:rsidR="00000000">
        <w:trPr>
          <w:divId w:val="57747126"/>
        </w:trPr>
        <w:tc>
          <w:tcPr>
            <w:tcW w:w="4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內因（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Endogenous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外因（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Environmental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57747126"/>
        </w:trPr>
        <w:tc>
          <w:tcPr>
            <w:tcW w:w="4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遺傳體質（多基因，與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IL-4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IL-5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IL-13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基因有關）</w:t>
            </w:r>
          </w:p>
        </w:tc>
        <w:tc>
          <w:tcPr>
            <w:tcW w:w="3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室內過敏原（塵蟎、貓狗、蟑螂）</w:t>
            </w:r>
          </w:p>
        </w:tc>
      </w:tr>
      <w:tr w:rsidR="00000000">
        <w:trPr>
          <w:divId w:val="57747126"/>
        </w:trPr>
        <w:tc>
          <w:tcPr>
            <w:tcW w:w="4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Atopy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（過敏體質）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室外過敏原（花粉、黴菌）</w:t>
            </w:r>
          </w:p>
        </w:tc>
      </w:tr>
      <w:tr w:rsidR="00000000">
        <w:trPr>
          <w:divId w:val="57747126"/>
        </w:trPr>
        <w:tc>
          <w:tcPr>
            <w:tcW w:w="4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呼吸道高反應性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汽機車廢氣（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、柴油微粒）</w:t>
            </w:r>
          </w:p>
        </w:tc>
      </w:tr>
      <w:tr w:rsidR="00000000">
        <w:trPr>
          <w:divId w:val="57747126"/>
        </w:trPr>
        <w:tc>
          <w:tcPr>
            <w:tcW w:w="4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肥胖</w:t>
            </w:r>
          </w:p>
        </w:tc>
        <w:tc>
          <w:tcPr>
            <w:tcW w:w="3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二手煙、病毒感染、職業性暴露（化學品）</w:t>
            </w:r>
          </w:p>
        </w:tc>
      </w:tr>
    </w:tbl>
    <w:p w:rsidR="0041112F" w:rsidRDefault="0041112F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治療方法之一是避免誘發因子</w:t>
      </w:r>
    </w:p>
    <w:p w:rsidR="0041112F" w:rsidRDefault="0041112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慢性氣道發炎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以嗜酸性球、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 helper 2 cells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、肥大細胞為主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氣道重塑（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airway remodeling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基底膜增厚（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collagen III, 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平滑肌肥厚與增生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黏液腺體與杯狀細胞增生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氣道高反應性（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AHR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反應過度的支氣管收縮反應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常見觸發因子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運動、冷空氣、病毒、塵蟎、食物添加物（如亞硫酸鹽）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氣喘的免疫發炎病理類型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53"/>
        <w:gridCol w:w="829"/>
        <w:gridCol w:w="1372"/>
        <w:gridCol w:w="1415"/>
        <w:gridCol w:w="1817"/>
      </w:tblGrid>
      <w:tr w:rsidR="00000000">
        <w:trPr>
          <w:divId w:val="1200315028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發病年齡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主要細胞</w:t>
            </w:r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發炎途徑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治療反應</w:t>
            </w:r>
          </w:p>
        </w:tc>
      </w:tr>
      <w:tr w:rsidR="00000000">
        <w:trPr>
          <w:divId w:val="1200315028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Allergic Eosinophilic Asthma</w:t>
            </w:r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幼童期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Eosinophil</w:t>
            </w:r>
          </w:p>
        </w:tc>
        <w:tc>
          <w:tcPr>
            <w:tcW w:w="2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TSLP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Mast cell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IgE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Th2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有效</w:t>
            </w:r>
          </w:p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重症：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Anti-IgE (Omalizumab)</w:t>
            </w:r>
          </w:p>
        </w:tc>
      </w:tr>
      <w:tr w:rsidR="00000000">
        <w:trPr>
          <w:divId w:val="1200315028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Non-allergic Eosinophilic Asthma</w:t>
            </w:r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成年後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ILC2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Eosinophil</w:t>
            </w:r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TSLP / IL-33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ILC2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IL-5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效果差</w:t>
            </w:r>
          </w:p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重症：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Anti-IL-5 (Mepolizumab)</w:t>
            </w:r>
          </w:p>
        </w:tc>
      </w:tr>
      <w:tr w:rsidR="00000000">
        <w:trPr>
          <w:divId w:val="1200315028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Neutrophilic Asthma</w:t>
            </w:r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成人期或暴露後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Th17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Neutrophil</w:t>
            </w:r>
          </w:p>
        </w:tc>
        <w:tc>
          <w:tcPr>
            <w:tcW w:w="2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汙染物、菸害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上皮受損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IL-8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Th17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效果不佳</w:t>
            </w:r>
          </w:p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可試用：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Macrolides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Azithromycin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41112F" w:rsidRDefault="0041112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color w:val="000000"/>
          <w:sz w:val="36"/>
          <w:szCs w:val="36"/>
        </w:rPr>
        <w:t> </w:t>
      </w:r>
    </w:p>
    <w:p w:rsidR="0041112F" w:rsidRDefault="0041112F">
      <w:pPr>
        <w:numPr>
          <w:ilvl w:val="1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細胞激素與途徑機轉（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Pathway Overview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41112F" w:rsidRDefault="0041112F">
      <w:pPr>
        <w:numPr>
          <w:ilvl w:val="2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過敏型嗜酸性氣喘（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Allergic Eosinophilic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41112F" w:rsidRDefault="0041112F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TSLP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活化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樹突細胞（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DC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呈現抗原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活化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Th2</w:t>
      </w:r>
    </w:p>
    <w:p w:rsidR="0041112F" w:rsidRDefault="0041112F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Th2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分泌：</w:t>
      </w:r>
    </w:p>
    <w:p w:rsidR="0041112F" w:rsidRDefault="0041112F">
      <w:pPr>
        <w:numPr>
          <w:ilvl w:val="4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IL-4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IgE class switching</w:t>
      </w:r>
    </w:p>
    <w:p w:rsidR="0041112F" w:rsidRDefault="0041112F">
      <w:pPr>
        <w:numPr>
          <w:ilvl w:val="4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IL-5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活化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eosinophil</w:t>
      </w:r>
    </w:p>
    <w:p w:rsidR="0041112F" w:rsidRDefault="0041112F">
      <w:pPr>
        <w:numPr>
          <w:ilvl w:val="4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IL-13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平滑肌收縮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+ goblet cell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黏液分泌↑</w:t>
      </w:r>
    </w:p>
    <w:p w:rsidR="0041112F" w:rsidRDefault="0041112F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臨床特徵：幼年發病，有明顯過敏史、氣喘性鼻炎</w:t>
      </w:r>
    </w:p>
    <w:p w:rsidR="0041112F" w:rsidRDefault="0041112F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ICS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有效，難治者用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anti-IgE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Omalizumab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41112F" w:rsidRDefault="0041112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 </w:t>
      </w:r>
    </w:p>
    <w:p w:rsidR="0041112F" w:rsidRDefault="0041112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非過敏型嗜酸性氣喘（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Non-allergic Eosinophilic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41112F" w:rsidRDefault="0041112F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IgE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路徑，主要由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ILC2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Innate Lymphoid Cell 2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啟動</w:t>
      </w:r>
    </w:p>
    <w:p w:rsidR="0041112F" w:rsidRDefault="0041112F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刺激因子：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IL-25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IL-33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TSLP</w:t>
      </w:r>
    </w:p>
    <w:p w:rsidR="0041112F" w:rsidRDefault="0041112F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ILC2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IL-5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誘導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eosinophilia</w:t>
      </w:r>
    </w:p>
    <w:p w:rsidR="0041112F" w:rsidRDefault="0041112F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臨床特徵：成年後發病、無過敏史</w:t>
      </w:r>
    </w:p>
    <w:p w:rsidR="0041112F" w:rsidRDefault="0041112F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ICS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效果較差，建議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anti-IL-5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mepolizumab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benralizumab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41112F" w:rsidRDefault="0041112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 </w:t>
      </w:r>
    </w:p>
    <w:p w:rsidR="0041112F" w:rsidRDefault="0041112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嗜中性氣喘（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Neutrophilic Asthma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41112F" w:rsidRDefault="0041112F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刺激物：空氣汙染、吸菸、化學刺激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造成上皮損傷</w:t>
      </w:r>
    </w:p>
    <w:p w:rsidR="0041112F" w:rsidRDefault="0041112F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活化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Th17 cell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，分泌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IL-17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neutrophil infiltration</w:t>
      </w:r>
    </w:p>
    <w:p w:rsidR="0041112F" w:rsidRDefault="0041112F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IL-8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增加，進一步吸引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neutrophils</w:t>
      </w:r>
    </w:p>
    <w:p w:rsidR="0041112F" w:rsidRDefault="0041112F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臨床特徵：常見於成人，咳嗽痰黏，常合併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COPD-like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病程</w:t>
      </w:r>
    </w:p>
    <w:p w:rsidR="0041112F" w:rsidRDefault="0041112F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效果差，可能受益於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Macrolides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Azithromycin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抗發炎作用）</w:t>
      </w:r>
    </w:p>
    <w:p w:rsidR="0041112F" w:rsidRDefault="0041112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1112F" w:rsidRDefault="0041112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臨床症狀與診斷標準（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Features &amp; Diagnostic Criteria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症狀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：間歇性咳嗽、喘鳴、胸悶或呼吸困難；夜間或清晨加劇，運動、冷空氣、過敏原或感染誘發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：可聞喘鳴、肺過度充氣（胸部擴張）、嚴重時無呼吸音（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silent chest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肺功能檢查診斷依據（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PFT Criteria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20"/>
        <w:gridCol w:w="3626"/>
      </w:tblGrid>
      <w:tr w:rsidR="00000000">
        <w:trPr>
          <w:divId w:val="587885337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標準</w:t>
            </w:r>
          </w:p>
        </w:tc>
      </w:tr>
      <w:tr w:rsidR="00000000">
        <w:trPr>
          <w:divId w:val="587885337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FEV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₁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/FVC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&lt; 0.75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0.80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，依年齡而定）</w:t>
            </w:r>
          </w:p>
        </w:tc>
      </w:tr>
      <w:tr w:rsidR="00000000">
        <w:trPr>
          <w:divId w:val="587885337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氣流可逆性（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Reversibility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吸入支氣管擴張劑（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Albuterol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）後，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FEV</w:t>
            </w:r>
            <w:r>
              <w:rPr>
                <w:rFonts w:ascii="Cambria Math" w:hAnsi="Cambria Math"/>
                <w:b/>
                <w:bCs/>
                <w:color w:val="ED7D31"/>
                <w:sz w:val="22"/>
                <w:szCs w:val="22"/>
              </w:rPr>
              <w:t>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b/>
                <w:bCs/>
                <w:color w:val="ED7D31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12%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且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b/>
                <w:bCs/>
                <w:color w:val="ED7D31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200 mL</w:t>
            </w:r>
          </w:p>
        </w:tc>
      </w:tr>
      <w:tr w:rsidR="00000000">
        <w:trPr>
          <w:divId w:val="587885337"/>
        </w:trPr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變異性（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Variability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）證明之一</w:t>
            </w:r>
          </w:p>
        </w:tc>
        <w:tc>
          <w:tcPr>
            <w:tcW w:w="4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587885337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PEF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變異性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日夜最大呼氣流量（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）差異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&gt;20%</w:t>
            </w:r>
          </w:p>
        </w:tc>
      </w:tr>
      <w:tr w:rsidR="00000000">
        <w:trPr>
          <w:divId w:val="587885337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支氣管激發試驗（如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Methacholine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PC20 &lt; 8 mg/mL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（支持高反應性）</w:t>
            </w:r>
          </w:p>
        </w:tc>
      </w:tr>
      <w:tr w:rsidR="00000000">
        <w:trPr>
          <w:divId w:val="587885337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Exhaled NO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FeNO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FeNO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50 ppb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（成人）支持氣道嗜酸性發炎</w:t>
            </w:r>
          </w:p>
        </w:tc>
      </w:tr>
    </w:tbl>
    <w:p w:rsidR="0041112F" w:rsidRDefault="0041112F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1112F" w:rsidRDefault="0041112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特殊氣喘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Refractory asthma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：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需排除用藥不依從、技巧不當，部分病人需長期口服類固醇（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Aspirin-sensitive asthma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常合併鼻息肉與鼻炎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應避免所有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COX inhibitors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COX-2 inhibitors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可用）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Montelukast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或需去敏治療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Elderly asthma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易與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COPD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混淆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注意藥物副作用與交互作用（如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1112F" w:rsidRDefault="0041112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1112F" w:rsidRDefault="0041112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（治療）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長期控制藥物（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Controllers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0"/>
        <w:gridCol w:w="1762"/>
        <w:gridCol w:w="1882"/>
        <w:gridCol w:w="1152"/>
      </w:tblGrid>
      <w:tr w:rsidR="00000000">
        <w:trPr>
          <w:divId w:val="798382360"/>
        </w:trPr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機制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備註</w:t>
            </w:r>
          </w:p>
        </w:tc>
      </w:tr>
      <w:tr w:rsidR="00000000">
        <w:trPr>
          <w:divId w:val="798382360"/>
        </w:trPr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（吸入性類固醇）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Budesonide, Fluticasone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抗發炎，減少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AHR</w:t>
            </w:r>
          </w:p>
        </w:tc>
        <w:tc>
          <w:tcPr>
            <w:tcW w:w="1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第一線</w:t>
            </w:r>
          </w:p>
        </w:tc>
      </w:tr>
      <w:tr w:rsidR="00000000">
        <w:trPr>
          <w:divId w:val="798382360"/>
        </w:trPr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 + LABA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（長效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Formoterol, Salmeterol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組合使用效果佳，減少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劑量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不可單獨使用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LABA</w:t>
            </w:r>
          </w:p>
        </w:tc>
      </w:tr>
      <w:tr w:rsidR="00000000">
        <w:trPr>
          <w:divId w:val="798382360"/>
        </w:trPr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LTRA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（抗白三烯）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Montelukast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leukotriene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引起的發炎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對過敏性體質者有效</w:t>
            </w:r>
          </w:p>
        </w:tc>
      </w:tr>
      <w:tr w:rsidR="00000000">
        <w:trPr>
          <w:divId w:val="798382360"/>
        </w:trPr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Theophylline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（茶鹼）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PDE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提升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cAMP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低劑量具抗發炎作用，副作用多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41112F" w:rsidRDefault="0041112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41112F" w:rsidRDefault="0041112F">
      <w:pPr>
        <w:numPr>
          <w:ilvl w:val="1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急性緩解藥物（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Relievers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0"/>
        <w:gridCol w:w="2106"/>
        <w:gridCol w:w="1209"/>
        <w:gridCol w:w="1351"/>
      </w:tblGrid>
      <w:tr w:rsidR="00000000">
        <w:trPr>
          <w:divId w:val="686446409"/>
        </w:trPr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機制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備註</w:t>
            </w:r>
          </w:p>
        </w:tc>
      </w:tr>
      <w:tr w:rsidR="00000000">
        <w:trPr>
          <w:divId w:val="686446409"/>
        </w:trPr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SABA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（短效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Albuterol, Terbutaline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支氣管擴張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第一線急性緩解</w:t>
            </w:r>
          </w:p>
        </w:tc>
      </w:tr>
      <w:tr w:rsidR="00000000">
        <w:trPr>
          <w:divId w:val="686446409"/>
        </w:trPr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抗膽鹼藥（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Ipratropium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抑制迷走神經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急性惡化輔助</w:t>
            </w:r>
          </w:p>
        </w:tc>
      </w:tr>
      <w:tr w:rsidR="00000000">
        <w:trPr>
          <w:divId w:val="686446409"/>
        </w:trPr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系統性類固醇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Prednisone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抗發炎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中重度惡化時使用</w:t>
            </w:r>
          </w:p>
        </w:tc>
      </w:tr>
    </w:tbl>
    <w:p w:rsidR="0041112F" w:rsidRDefault="0041112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41112F" w:rsidRDefault="0041112F">
      <w:pPr>
        <w:numPr>
          <w:ilvl w:val="1"/>
          <w:numId w:val="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Pharmacology &amp; Adverse Effects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（藥理與副作用）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5"/>
        <w:gridCol w:w="4961"/>
      </w:tblGrid>
      <w:tr w:rsidR="00000000">
        <w:trPr>
          <w:divId w:val="1764494849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6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常見副作用</w:t>
            </w:r>
          </w:p>
        </w:tc>
      </w:tr>
      <w:tr w:rsidR="00000000">
        <w:trPr>
          <w:divId w:val="1764494849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</w:t>
            </w:r>
          </w:p>
        </w:tc>
        <w:tc>
          <w:tcPr>
            <w:tcW w:w="6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口腔念珠菌、聲音沙啞，長期大劑量有骨質疏鬆、腎上腺抑制風險</w:t>
            </w:r>
          </w:p>
        </w:tc>
      </w:tr>
      <w:tr w:rsidR="00000000">
        <w:trPr>
          <w:divId w:val="1764494849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LABA</w:t>
            </w:r>
          </w:p>
        </w:tc>
        <w:tc>
          <w:tcPr>
            <w:tcW w:w="6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心悸、顫抖，單用增加死亡風險</w:t>
            </w:r>
          </w:p>
        </w:tc>
      </w:tr>
      <w:tr w:rsidR="00000000">
        <w:trPr>
          <w:divId w:val="1764494849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Theophylline</w:t>
            </w:r>
          </w:p>
        </w:tc>
        <w:tc>
          <w:tcPr>
            <w:tcW w:w="6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心律不整、嘔吐、癲癇、低血鉀，劑量需監測血中濃度</w:t>
            </w:r>
          </w:p>
        </w:tc>
      </w:tr>
      <w:tr w:rsidR="00000000">
        <w:trPr>
          <w:divId w:val="1764494849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LTRA</w:t>
            </w:r>
          </w:p>
        </w:tc>
        <w:tc>
          <w:tcPr>
            <w:tcW w:w="6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罕見肝毒性、行為改變（特別是兒童）</w:t>
            </w:r>
          </w:p>
        </w:tc>
      </w:tr>
      <w:tr w:rsidR="00000000">
        <w:trPr>
          <w:divId w:val="1764494849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SABA</w:t>
            </w:r>
          </w:p>
        </w:tc>
        <w:tc>
          <w:tcPr>
            <w:tcW w:w="6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顫抖、心悸、低血鉀</w:t>
            </w:r>
          </w:p>
        </w:tc>
      </w:tr>
    </w:tbl>
    <w:p w:rsidR="0041112F" w:rsidRDefault="0041112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1112F" w:rsidRDefault="0041112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GINA 2024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氣喘治療策略概覽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治療目標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控制症狀：</w:t>
      </w:r>
      <w:r>
        <w:rPr>
          <w:rFonts w:ascii="Arial" w:hAnsi="Arial" w:cs="Arial"/>
          <w:color w:val="000000"/>
          <w:sz w:val="22"/>
          <w:szCs w:val="22"/>
        </w:rPr>
        <w:t>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減少日常症狀和夜間覺醒次數。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預防急性惡化：</w:t>
      </w:r>
      <w:r>
        <w:rPr>
          <w:rFonts w:ascii="Arial" w:hAnsi="Arial" w:cs="Arial"/>
          <w:color w:val="000000"/>
          <w:sz w:val="22"/>
          <w:szCs w:val="22"/>
        </w:rPr>
        <w:t>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降低急性發作的風險。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維持正常肺功能：</w:t>
      </w:r>
      <w:r>
        <w:rPr>
          <w:rFonts w:ascii="Arial" w:hAnsi="Arial" w:cs="Arial"/>
          <w:color w:val="000000"/>
          <w:sz w:val="22"/>
          <w:szCs w:val="22"/>
        </w:rPr>
        <w:t>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保持接近正常的肺功能。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最小化藥物副作用：</w:t>
      </w:r>
      <w:r>
        <w:rPr>
          <w:rFonts w:ascii="Arial" w:hAnsi="Arial" w:cs="Arial"/>
          <w:color w:val="000000"/>
          <w:sz w:val="22"/>
          <w:szCs w:val="22"/>
        </w:rPr>
        <w:t>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使用最低有效劑量的藥物以減少副作用。</w:t>
      </w:r>
      <w:r>
        <w:rPr>
          <w:rFonts w:ascii="Arial" w:hAnsi="Arial" w:cs="Arial"/>
          <w:color w:val="000000"/>
          <w:sz w:val="22"/>
          <w:szCs w:val="22"/>
        </w:rPr>
        <w:t>​</w:t>
      </w:r>
    </w:p>
    <w:p w:rsidR="0041112F" w:rsidRDefault="0041112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1112F" w:rsidRDefault="0041112F">
      <w:pPr>
        <w:numPr>
          <w:ilvl w:val="1"/>
          <w:numId w:val="1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治療步驟</w:t>
      </w:r>
    </w:p>
    <w:p w:rsidR="0041112F" w:rsidRDefault="0041112F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GINA 2024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建議使用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ICS-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福莫特羅（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formoterol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）作為首選的控制與緩解治療（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Track 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，並提供以下治療步驟：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5"/>
        <w:gridCol w:w="1937"/>
        <w:gridCol w:w="3704"/>
      </w:tblGrid>
      <w:tr w:rsidR="00000000">
        <w:trPr>
          <w:divId w:val="92330131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步驟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臨床特徵</w:t>
            </w:r>
          </w:p>
        </w:tc>
        <w:tc>
          <w:tcPr>
            <w:tcW w:w="4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推薦治療</w:t>
            </w:r>
          </w:p>
        </w:tc>
      </w:tr>
      <w:tr w:rsidR="00000000">
        <w:trPr>
          <w:divId w:val="923301318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Step 1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偶發性症狀（每週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次）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需要時使用低劑量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ICS-Formoterol</w:t>
            </w:r>
          </w:p>
        </w:tc>
      </w:tr>
      <w:tr w:rsidR="00000000">
        <w:trPr>
          <w:divId w:val="923301318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Step 2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症狀每週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次，但非每日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每日低劑量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ICS-Formoterol</w:t>
            </w:r>
          </w:p>
        </w:tc>
      </w:tr>
      <w:tr w:rsidR="00000000">
        <w:trPr>
          <w:divId w:val="923301318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Step 3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每日症狀或每週夜間覺醒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每日低劑量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ICS-Formoterol</w:t>
            </w:r>
          </w:p>
        </w:tc>
      </w:tr>
      <w:tr w:rsidR="00000000">
        <w:trPr>
          <w:divId w:val="923301318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Step 4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每日症狀、夜間覺醒或低肺功能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每日中劑量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ICS-Formoterol</w:t>
            </w:r>
          </w:p>
        </w:tc>
      </w:tr>
      <w:tr w:rsidR="00000000">
        <w:trPr>
          <w:divId w:val="923301318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Step 5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無法控制的嚴重氣喘</w:t>
            </w:r>
          </w:p>
        </w:tc>
        <w:tc>
          <w:tcPr>
            <w:tcW w:w="4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112F" w:rsidRDefault="0041112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轉介專科，考慮生物製劑（如抗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IL-5/5R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IL-4R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TSLP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41112F" w:rsidRDefault="0041112F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備註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Track 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為替代方案，使用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SABA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作為緩解劑，需每日固定使用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41112F" w:rsidRDefault="0041112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1112F" w:rsidRDefault="0041112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特殊氣喘類型管理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咳嗽變異型氣喘（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Cough Variant Asthma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主要症狀為慢性咳嗽，肺功能可能正常。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診斷依賴氣道高反應性測試或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FeNO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測量。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治療與典型氣喘相似，使用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ICS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為主。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阿司匹林敏感性氣喘（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Aspirin-Exacerbated Respiratory Disease, AERD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避免使用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NSAIDs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41112F" w:rsidRDefault="0041112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可考慮使用抗白三烯藥物（如蒙特魯卡斯特）或進行去敏治療。</w:t>
      </w:r>
      <w:r>
        <w:rPr>
          <w:rFonts w:ascii="Arial" w:hAnsi="Arial" w:cs="Arial"/>
          <w:color w:val="000000"/>
          <w:sz w:val="22"/>
          <w:szCs w:val="22"/>
        </w:rPr>
        <w:t>​</w:t>
      </w:r>
    </w:p>
    <w:p w:rsidR="0041112F" w:rsidRDefault="0041112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</w:t>
      </w:r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https://ginasthma.org/wp-content/uploads/2024/12/GINA-Summary-Guide-2024-WEB-WMS.pdf?utm_source=chatgpt.com</w:t>
        </w:r>
      </w:hyperlink>
    </w:p>
    <w:p w:rsidR="0041112F" w:rsidRDefault="0041112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https://www.pulmonologyadvisor.com/features/gina-2024-asthma-update/?utm_source=chatgpt.com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1112F" w:rsidRDefault="0041112F" w:rsidP="0041112F">
      <w:r>
        <w:separator/>
      </w:r>
    </w:p>
  </w:endnote>
  <w:endnote w:type="continuationSeparator" w:id="0">
    <w:p w:rsidR="0041112F" w:rsidRDefault="0041112F" w:rsidP="00411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1112F" w:rsidRDefault="0041112F" w:rsidP="0041112F">
      <w:r>
        <w:separator/>
      </w:r>
    </w:p>
  </w:footnote>
  <w:footnote w:type="continuationSeparator" w:id="0">
    <w:p w:rsidR="0041112F" w:rsidRDefault="0041112F" w:rsidP="00411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67D29"/>
    <w:multiLevelType w:val="multilevel"/>
    <w:tmpl w:val="CBC6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194428">
    <w:abstractNumId w:val="0"/>
  </w:num>
  <w:num w:numId="2" w16cid:durableId="1369804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47143762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46403465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22649574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 w16cid:durableId="395395305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66770642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1916920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840969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13598099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60576914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2F"/>
    <w:rsid w:val="0041112F"/>
    <w:rsid w:val="0065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F386CD3-6F1E-4BB4-BA83-91F871FF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411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1112F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411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1112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lmonologyadvisor.com/features/gina-2024-asthma-update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nasthma.org/wp-content/uploads/2024/12/GINA-Summary-Guide-2024-WEB-WMS.pdf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