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4CE" w:rsidRDefault="00A334C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coronary syndrome</w:t>
      </w:r>
    </w:p>
    <w:p w:rsidR="00A334CE" w:rsidRDefault="00A334C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A334CE" w:rsidRDefault="00A334C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5:29 PM</w:t>
      </w:r>
    </w:p>
    <w:p w:rsidR="00A334CE" w:rsidRDefault="00A334C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334CE" w:rsidRDefault="00A334C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334CE" w:rsidRDefault="00A334C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334CE" w:rsidRDefault="00A334C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334CE" w:rsidRDefault="00A334C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334CE" w:rsidRDefault="00A334C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流行病學（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Epidemiology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台灣急性冠狀症候群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現況</w:t>
      </w:r>
    </w:p>
    <w:p w:rsidR="00A334CE" w:rsidRDefault="00A334C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是台灣主要的心血管疾病之一，發病率隨年齡增加</w:t>
      </w:r>
    </w:p>
    <w:p w:rsidR="00A334CE" w:rsidRDefault="00A334C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與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 NSTEMI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皆可導致心衰竭、心律不整、猝死</w:t>
      </w:r>
    </w:p>
    <w:p w:rsidR="00A334CE" w:rsidRDefault="00A334C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近年來，高齡、糖尿病、腎功能不全患者比例增加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急性冠症候群（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Acute Coronary Syndromes, 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3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急性冠症候群主要由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動脈粥樣硬化斑塊破裂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Plaque Rupture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導致血栓形成（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Thrombus Formation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）引起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，依據血管阻塞程度可分為以下類型：</w:t>
      </w:r>
    </w:p>
    <w:p w:rsidR="00A334CE" w:rsidRDefault="00A334CE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3"/>
        <w:gridCol w:w="1775"/>
        <w:gridCol w:w="1776"/>
        <w:gridCol w:w="1682"/>
      </w:tblGrid>
      <w:tr w:rsidR="00000000">
        <w:trPr>
          <w:divId w:val="9781500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血管阻塞程度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變化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978150046"/>
        </w:trPr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不穩定型心絞痛（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Unstable Angina, UA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波倒置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9781500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波改變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9781500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</w:tbl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A334CE" w:rsidRDefault="00A334CE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不穩定型心絞痛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Unstable Angina, UA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斑塊破裂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Segoe UI Symbol" w:hAnsi="Segoe UI Symbol" w:cs="Calibri"/>
          <w:color w:val="000000"/>
          <w:sz w:val="22"/>
          <w:szCs w:val="22"/>
        </w:rPr>
        <w:t>➝</w:t>
      </w:r>
      <w:r>
        <w:rPr>
          <w:rFonts w:ascii="Segoe UI Symbol" w:hAnsi="Segoe UI Symbol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（但未完全阻塞）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心肌未壞死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（沒有心肌酵素上升）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休息時胸痛（新發或惡化）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與穩定型心絞痛（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Stable Angina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）不同，休息時仍可能發作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可能正常或出現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非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部分血栓阻塞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（導致部分心肌缺血壞死）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影響內膜層心肌（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Subendocardial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持續性胸痛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10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 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可能伴隨呼吸困難、盜汗、噁心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A334CE" w:rsidRDefault="00A334CE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波倒置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段抬高）</w:t>
      </w:r>
    </w:p>
    <w:p w:rsidR="00A334CE" w:rsidRDefault="00A334C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TIMI Score</w:t>
      </w:r>
    </w:p>
    <w:p w:rsidR="00A334CE" w:rsidRDefault="00A334CE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預測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14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天內心血管事件（死亡、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、需緊急血運重建）的風險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，滿分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分，分數越高，風險越高！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74"/>
        <w:gridCol w:w="1732"/>
      </w:tblGrid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評分（每項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分）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個冠心病危險因子（高血壓、糖尿病、吸菸、高膽固醇、早發冠心病家族史）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已知冠狀動脈疾病（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，冠狀動脈狹窄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小時內出現嚴重心絞痛（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使用抗血小板藥物（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）但仍有症狀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）表現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0.5mm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439495673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初始心肌酵素（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CK-MB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）升高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</w:tbl>
    <w:p w:rsidR="00A334CE" w:rsidRDefault="00A334CE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334CE" w:rsidRDefault="00A334CE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TIMI Score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2496"/>
      </w:tblGrid>
      <w:tr w:rsidR="00000000">
        <w:trPr>
          <w:divId w:val="695694719"/>
        </w:trPr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TIMI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天內心血管事件風險</w:t>
            </w:r>
          </w:p>
        </w:tc>
      </w:tr>
      <w:tr w:rsidR="00000000">
        <w:trPr>
          <w:divId w:val="69569471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0-1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9569471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9569471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9569471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9569471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5-7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26-41%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A334CE" w:rsidRDefault="00A334CE">
      <w:pPr>
        <w:pStyle w:val="Web"/>
        <w:spacing w:beforeAutospacing="0" w:afterAutospacing="0"/>
        <w:ind w:left="540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TIMI Score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建議做侵入性治療（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334CE" w:rsidRDefault="00A334CE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GRACE score</w:t>
      </w:r>
    </w:p>
    <w:p w:rsidR="00A334CE" w:rsidRDefault="00A334CE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的風險評估上，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GRACE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TIMI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都可用於臨床決策，但台灣與國際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guideline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TSOC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AHA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較推薦使用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GRACE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來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評估預後風險與是否需要早期介入治療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A334CE" w:rsidRDefault="00A334CE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主要用於評估急性冠症候群（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）患者的院內及出院後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個月內死亡風險，特別適用於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與不穩定型心絞痛（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A334CE" w:rsidRDefault="00A334CE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GRACE Score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根據以下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8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個臨床指標計算分數</w:t>
      </w:r>
      <w:r>
        <w:rPr>
          <w:rFonts w:ascii="Microsoft JhengHei Light" w:eastAsia="Microsoft JhengHei Light" w:hAnsi="Microsoft JhengHei Light" w:cs="Calibri" w:hint="eastAsia"/>
          <w:color w:val="1A1A1A"/>
          <w:sz w:val="28"/>
          <w:szCs w:val="28"/>
        </w:rPr>
        <w:t>，計分法複雜，可上網算：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38"/>
        <w:gridCol w:w="3428"/>
      </w:tblGrid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變項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內容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年齡越大，風險越高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Heart rate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心率越高，風險越高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收縮壓（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SBP, mmHg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血壓越低，風險越高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Killip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依據心臟衰竭嚴重度評估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心搏停止（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arrest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是否有院外心搏停止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血清肌酐（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Serum Creatinine, mg/dL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腎功能不佳者風險較高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段變化（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ST-segment deviation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段改變者風險較高</w:t>
            </w:r>
          </w:p>
        </w:tc>
      </w:tr>
      <w:tr w:rsidR="00000000">
        <w:trPr>
          <w:divId w:val="1891652286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心肌標誌物（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biomarkers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CK-MB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陽性者風險較高</w:t>
            </w:r>
          </w:p>
        </w:tc>
      </w:tr>
    </w:tbl>
    <w:p w:rsidR="00A334CE" w:rsidRDefault="00A334CE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GRACE Score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依照總分預測院內及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6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個月內死亡風險，並用於決定是否進行侵入性治療。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3"/>
        <w:gridCol w:w="1076"/>
        <w:gridCol w:w="1702"/>
        <w:gridCol w:w="3145"/>
      </w:tblGrid>
      <w:tr w:rsidR="00000000">
        <w:trPr>
          <w:divId w:val="771558198"/>
        </w:trPr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GRACE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總分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死亡風險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建議處置</w:t>
            </w:r>
          </w:p>
        </w:tc>
      </w:tr>
      <w:tr w:rsidR="00000000">
        <w:trPr>
          <w:divId w:val="771558198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&lt;1%</w:t>
            </w:r>
          </w:p>
        </w:tc>
        <w:tc>
          <w:tcPr>
            <w:tcW w:w="3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可考慮藥物保守治療</w:t>
            </w:r>
          </w:p>
        </w:tc>
      </w:tr>
      <w:tr w:rsidR="00000000">
        <w:trPr>
          <w:divId w:val="771558198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109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中風險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1-3%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24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小時內侵入性策略（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71558198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&gt;140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&gt;3%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緊急侵入性策略（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 within 2h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334CE" w:rsidRDefault="00A334CE">
      <w:pPr>
        <w:numPr>
          <w:ilvl w:val="0"/>
          <w:numId w:val="9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不穩定型心絞痛及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</w:t>
      </w:r>
    </w:p>
    <w:p w:rsidR="00A334CE" w:rsidRDefault="00A334CE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主要治療目標：穩定病況、減少再梗塞</w:t>
      </w:r>
    </w:p>
    <w:p w:rsidR="00A334CE" w:rsidRDefault="00A334CE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UA/NSTEMI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：冠狀動脈「不完全阻塞」，仍有部分血流供應心肌，因此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不需要緊急血栓溶解（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Thrombolysis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）。</w:t>
      </w:r>
    </w:p>
    <w:p w:rsidR="00A334CE" w:rsidRDefault="00A334CE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初期藥物治療（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Antithrombotic &amp; Anti-ischemic Therapy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抗血小板藥物（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Antiplatelet Agents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Aspirin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ASA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：永久性抑制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Thromboxane 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生成，防止血小板聚集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P2Y12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受體拮抗劑（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Clopidogrel / Prasugrel / Ticagrelor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合併使用（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Dual Antiplatelet Therapy, 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Ticagrelor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作用最強（但增加出血風險）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Prasugrel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禁用於中風病史患者</w:t>
      </w:r>
    </w:p>
    <w:p w:rsidR="00A334CE" w:rsidRDefault="00A334C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抗凝血藥物（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Anticoagulants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Heparin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UFH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減少新血栓形成，預防進一步阻塞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（未分化肝素）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需持續監測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（低分子量肝素，如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Enoxaparin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）：較穩定、不需監測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，臨床更常用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Bivalirudin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（直接凝血酶抑制劑）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，如對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Heparin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過敏可考慮</w:t>
      </w:r>
    </w:p>
    <w:p w:rsidR="00A334CE" w:rsidRDefault="00A334C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抗缺血藥物（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Anti-ischemic Therapy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阻斷劑）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減少心肌氧氣消耗（降低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、心肌收縮力）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禁忌症：心因性休克、嚴重支氣管痙攣（如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COPD, Asthma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Nitrates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緩解心絞痛，改善冠狀動脈血流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禁忌症：嚴重低血壓、右心梗塞（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（高劑量，如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Atorvastatin 80mg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穩定動脈粥狀斑塊，減少心血管事件</w:t>
      </w:r>
    </w:p>
    <w:p w:rsidR="00A334CE" w:rsidRDefault="00A334CE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介入治療（非緊急性心導管術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/PCI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1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NSTEMI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不需要緊急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PCI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高風險患者仍應該考慮早期介入治療。</w:t>
      </w:r>
    </w:p>
    <w:p w:rsidR="00A334CE" w:rsidRDefault="00A334CE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適用族群：高危險族群</w:t>
      </w:r>
    </w:p>
    <w:p w:rsidR="00A334CE" w:rsidRDefault="00A334CE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GRACE score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高（預測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個月內死亡風險）</w:t>
      </w:r>
    </w:p>
    <w:p w:rsidR="00A334CE" w:rsidRDefault="00A334CE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反覆胸痛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血流動力學不穩</w:t>
      </w:r>
    </w:p>
    <w:p w:rsidR="00A334CE" w:rsidRDefault="00A334CE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ST-T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變化或生物標誌物升高（如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</w:t>
      </w:r>
    </w:p>
    <w:p w:rsidR="00A334CE" w:rsidRDefault="00A334CE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冠狀動脈造影（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Coronary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），依狀況決定是否放置支架（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334CE" w:rsidRDefault="00A334CE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必要時行冠狀動脈繞道手術（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4748"/>
      </w:tblGrid>
      <w:tr w:rsidR="00000000">
        <w:trPr>
          <w:divId w:val="2020498167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風險分層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2020498167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&gt;140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緊急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小時內）</w:t>
            </w:r>
          </w:p>
        </w:tc>
      </w:tr>
      <w:tr w:rsidR="00000000">
        <w:trPr>
          <w:divId w:val="202049816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109-140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24-72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小時內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PCI</w:t>
            </w:r>
          </w:p>
        </w:tc>
      </w:tr>
      <w:tr w:rsidR="00000000">
        <w:trPr>
          <w:divId w:val="2020498167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&lt;109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、抗凝、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20498167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Aspirin + P2Y12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抑制劑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Heparin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UFH/LMWH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</w:tr>
    </w:tbl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A334CE" w:rsidRDefault="00A334CE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完全血管阻塞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100%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），導致心肌急性缺血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影響全層心肌（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Transmural Infarction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334CE" w:rsidRDefault="00A334CE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劇烈胸痛（可能持續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，可能放射至左臂、下顎、頸部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可能伴有呼吸困難、盜汗、嘔吐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無法被休息或舌下含服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NTG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緩解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，可能合併新發左束支傳導阻滯（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心肌酵素明顯上升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 I/T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A334CE" w:rsidRDefault="00A334CE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（連續兩個肢體導聯）或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（連續胸導聯）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STEMI ECG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變化：</w:t>
      </w:r>
    </w:p>
    <w:p w:rsidR="00A334CE" w:rsidRDefault="00A334CE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至少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個連續導程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段抬高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，定義如下：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V2-V3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A334CE" w:rsidRDefault="00A334CE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2.5 mm</w:t>
      </w:r>
    </w:p>
    <w:p w:rsidR="00A334CE" w:rsidRDefault="00A334CE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2.0 mm</w:t>
      </w:r>
    </w:p>
    <w:p w:rsidR="00A334CE" w:rsidRDefault="00A334CE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女性：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1.5 mm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其他導程：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</w:p>
    <w:p w:rsidR="00A334CE" w:rsidRDefault="00A334CE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新發左束支傳導阻滯（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），合併缺血症狀時，亦視為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</w:p>
    <w:p w:rsidR="00A334CE" w:rsidRDefault="00A334CE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病程發展：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超急性期（數分鐘內）：高聳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Hyperacute T waves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急性期（數小時內）：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 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數天內：病理性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Pathologic Q wave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數週至數月：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段恢復基線，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波持續倒置，病理性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波可永久存在</w:t>
      </w:r>
    </w:p>
    <w:p w:rsidR="00A334CE" w:rsidRDefault="00A334CE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發作後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週仍未恢復至基線，可能暗示心室瘤（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Aneurysm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形成。這是一種慢性併發症，通常發生於前壁心肌梗塞（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Anterior MI, LAD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供應區域），因為該區心肌壞死後變成纖維化瘢痕（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），導致局部心室壁失去收縮能力（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Akinetic zone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），甚至在心臟收縮時呈現反向突出（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Dyskinesia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Cardiac biomarker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重點：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1"/>
        <w:gridCol w:w="1296"/>
        <w:gridCol w:w="1100"/>
        <w:gridCol w:w="1302"/>
        <w:gridCol w:w="2467"/>
      </w:tblGrid>
      <w:tr w:rsidR="00000000">
        <w:trPr>
          <w:divId w:val="796025028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生物標記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升高時間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高峰時間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適用情境</w:t>
            </w:r>
          </w:p>
        </w:tc>
      </w:tr>
      <w:tr w:rsidR="00000000">
        <w:trPr>
          <w:divId w:val="796025028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 I/T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24-48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7-14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最敏感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、特異的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標記，但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不適合偵測再梗塞</w:t>
            </w:r>
          </w:p>
        </w:tc>
      </w:tr>
      <w:tr w:rsidR="00000000">
        <w:trPr>
          <w:divId w:val="796025028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CK-MB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偵測再梗塞</w:t>
            </w:r>
          </w:p>
        </w:tc>
      </w:tr>
      <w:tr w:rsidR="00000000">
        <w:trPr>
          <w:divId w:val="796025028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Myoglobin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最快升高，但特異性低</w:t>
            </w:r>
          </w:p>
        </w:tc>
      </w:tr>
    </w:tbl>
    <w:p w:rsidR="00A334CE" w:rsidRDefault="00A334CE">
      <w:pPr>
        <w:numPr>
          <w:ilvl w:val="0"/>
          <w:numId w:val="1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重點整理：</w:t>
      </w:r>
    </w:p>
    <w:p w:rsidR="00A334CE" w:rsidRDefault="00A334CE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目前臨床上主要使用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）來診斷急性心肌梗塞</w:t>
      </w:r>
    </w:p>
    <w:p w:rsidR="00A334CE" w:rsidRDefault="00A334CE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則可輔助偵測再梗塞</w:t>
      </w:r>
    </w:p>
    <w:p w:rsidR="00A334CE" w:rsidRDefault="00A334CE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Myoglobin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特異性低（骨骼肌損傷也會影響）臨床上較少單獨使用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冠狀動脈解剖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48050" cy="220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主要血管分佈</w:t>
      </w:r>
    </w:p>
    <w:p w:rsidR="00A334CE" w:rsidRDefault="00A334CE">
      <w:pPr>
        <w:numPr>
          <w:ilvl w:val="1"/>
          <w:numId w:val="1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Coronary Artery, LCA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Main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分出兩條：</w:t>
      </w:r>
    </w:p>
    <w:p w:rsidR="00A334CE" w:rsidRDefault="00A334CE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Anterior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interventricular plane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（前降支）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A334CE" w:rsidRDefault="00A334CE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）：供應心室中隔</w:t>
      </w:r>
    </w:p>
    <w:p w:rsidR="00A334CE" w:rsidRDefault="00A334CE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Diagonal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）：供應左心室前壁</w:t>
      </w:r>
    </w:p>
    <w:p w:rsidR="00A334CE" w:rsidRDefault="00A334CE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LCX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Circumflex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繞左心側壁（迴旋支）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A334CE" w:rsidRDefault="00A334CE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Obtuse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）：供應左心室側壁</w:t>
      </w:r>
    </w:p>
    <w:p w:rsidR="00A334CE" w:rsidRDefault="00A334CE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Coronary Artery, RCA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主要分支：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Conus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Node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 node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Ventricular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供應右心室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Posterolateral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供應左心室後壁</w:t>
      </w:r>
    </w:p>
    <w:p w:rsidR="00A334CE" w:rsidRDefault="00A334CE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供應左心室下壁、後壁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1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缺血區域對應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ECG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變化</w:t>
      </w:r>
    </w:p>
    <w:p w:rsidR="00A334CE" w:rsidRDefault="00A334CE">
      <w:pPr>
        <w:numPr>
          <w:ilvl w:val="1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）可用來定位缺血區域，但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）無法確定確切缺血位置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5"/>
        <w:gridCol w:w="2411"/>
        <w:gridCol w:w="2600"/>
      </w:tblGrid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缺血區域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供應血管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導極變化（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Septum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（中隔）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</w:p>
        </w:tc>
      </w:tr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Anterior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（前壁）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</w:p>
        </w:tc>
      </w:tr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Lateral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（側壁）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LCX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LAD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遠端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</w:p>
        </w:tc>
      </w:tr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Inferior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（下壁）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（較常見）或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1932081635"/>
        </w:trPr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Posterior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（後壁）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Tall R or STD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32081635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（右心室）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近端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（右側導極）</w:t>
            </w:r>
          </w:p>
        </w:tc>
      </w:tr>
    </w:tbl>
    <w:p w:rsidR="00A334CE" w:rsidRDefault="00A334CE">
      <w:pPr>
        <w:pStyle w:val="Web"/>
        <w:spacing w:beforeAutospacing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進一步分析（國考常考）</w:t>
      </w:r>
    </w:p>
    <w:p w:rsidR="00A334CE" w:rsidRDefault="00A334CE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aVF 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阻塞，但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也可能導致！如何鑑別？</w:t>
      </w:r>
    </w:p>
    <w:p w:rsidR="00A334CE" w:rsidRDefault="00A334CE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II vs. lead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</w:p>
    <w:p w:rsidR="00A334CE" w:rsidRDefault="00A334CE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Lead III STE &gt; Lead 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A334CE" w:rsidRDefault="00A334CE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 STE &gt; Lead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，且側壁（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）也有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A334CE" w:rsidRDefault="00A334CE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V4R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近端阻塞</w:t>
      </w:r>
    </w:p>
    <w:p w:rsidR="00A334CE" w:rsidRDefault="00A334CE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A334CE" w:rsidRDefault="00A334CE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右心梗塞不可使用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）！</w:t>
      </w:r>
    </w:p>
    <w:p w:rsidR="00A334CE" w:rsidRDefault="00A334CE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需補充體液（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Hydration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以維持前負荷</w:t>
      </w:r>
    </w:p>
    <w:p w:rsidR="00A334CE" w:rsidRDefault="00A334CE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會合併右心梗塞</w:t>
      </w:r>
    </w:p>
    <w:p w:rsidR="00A334CE" w:rsidRDefault="00A334CE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後壁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Posterior 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334CE" w:rsidRDefault="00A334CE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變化</w:t>
      </w:r>
    </w:p>
    <w:p w:rsidR="00A334CE" w:rsidRDefault="00A334CE">
      <w:pPr>
        <w:numPr>
          <w:ilvl w:val="2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Tall 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波）</w:t>
      </w:r>
    </w:p>
    <w:p w:rsidR="00A334CE" w:rsidRDefault="00A334CE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可合併下壁或側壁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</w:t>
      </w:r>
    </w:p>
    <w:p w:rsidR="00A334CE" w:rsidRDefault="00A334CE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（後側導極）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可確診</w:t>
      </w:r>
    </w:p>
    <w:p w:rsidR="00A334CE" w:rsidRDefault="00A334CE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2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急性治療（國考考點）</w:t>
      </w:r>
    </w:p>
    <w:p w:rsidR="00A334CE" w:rsidRDefault="00A334CE">
      <w:pPr>
        <w:numPr>
          <w:ilvl w:val="1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立即恢復心肌灌流（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Time is muscle!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A334CE" w:rsidRDefault="00A334CE">
      <w:pPr>
        <w:numPr>
          <w:ilvl w:val="2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Primary 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（首選！）</w:t>
      </w:r>
    </w:p>
    <w:p w:rsidR="00A334CE" w:rsidRDefault="00A334CE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Door-to-Balloon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90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A334CE" w:rsidRDefault="00A334CE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」指的是未先給血栓溶解劑，直接進行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（經皮冠狀動脈介入治療）</w:t>
      </w:r>
    </w:p>
    <w:p w:rsidR="00A334CE" w:rsidRDefault="00A334CE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比血栓溶解劑更能降低死亡率、再梗塞風險</w:t>
      </w:r>
    </w:p>
    <w:p w:rsidR="00A334CE" w:rsidRDefault="00A334CE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若能在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，優先選擇！</w:t>
      </w:r>
    </w:p>
    <w:p w:rsidR="00A334CE" w:rsidRDefault="00A334CE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Killip class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（心衰、休克）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有血栓溶解劑的禁忌症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高出血風險</w:t>
      </w:r>
    </w:p>
    <w:p w:rsidR="00A334CE" w:rsidRDefault="00A334CE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Thrombolytic Therapy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（血栓溶解劑）</w:t>
      </w:r>
    </w:p>
    <w:p w:rsidR="00A334CE" w:rsidRDefault="00A334CE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Door-to-Needle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A334CE" w:rsidRDefault="00A334CE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A334CE" w:rsidRDefault="00A334CE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施打後仍須立即轉診至可做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A334CE" w:rsidRDefault="00A334CE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症狀發作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小時效果下降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無禁忌症</w:t>
      </w:r>
    </w:p>
    <w:p w:rsidR="00A334CE" w:rsidRDefault="00A334CE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334CE" w:rsidRDefault="00A334CE">
      <w:pPr>
        <w:numPr>
          <w:ilvl w:val="0"/>
          <w:numId w:val="2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再灌流策略（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PCI vs.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溶栓）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1"/>
        <w:gridCol w:w="2362"/>
        <w:gridCol w:w="1947"/>
        <w:gridCol w:w="1776"/>
      </w:tblGrid>
      <w:tr w:rsidR="00000000">
        <w:trPr>
          <w:divId w:val="19075686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時間限制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9075686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診斷，且可在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Door-to-balloon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最佳療法，較少出血風險</w:t>
            </w:r>
          </w:p>
        </w:tc>
      </w:tr>
      <w:tr w:rsidR="00000000">
        <w:trPr>
          <w:divId w:val="1907568622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Fibrinolysis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（溶栓治療）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Door-to-needle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適用於無法立即進行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的情況</w:t>
            </w:r>
          </w:p>
        </w:tc>
      </w:tr>
    </w:tbl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334CE" w:rsidRDefault="00A334CE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根據衛福部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治療指引與臨床實務，以下是常見的醫院內部處置時間（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Door-to-Reperfusion Time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13"/>
        <w:gridCol w:w="3893"/>
      </w:tblGrid>
      <w:tr w:rsidR="00000000">
        <w:trPr>
          <w:divId w:val="469369557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步驟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時間目標</w:t>
            </w:r>
          </w:p>
        </w:tc>
      </w:tr>
      <w:tr w:rsidR="00000000">
        <w:trPr>
          <w:divId w:val="469369557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，確認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</w:t>
            </w:r>
          </w:p>
        </w:tc>
      </w:tr>
      <w:tr w:rsidR="00000000">
        <w:trPr>
          <w:divId w:val="469369557"/>
        </w:trPr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Door-to-Needle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（血栓溶解劑），應完成投藥</w:t>
            </w:r>
          </w:p>
        </w:tc>
      </w:tr>
      <w:tr w:rsidR="00000000">
        <w:trPr>
          <w:divId w:val="469369557"/>
        </w:trPr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，應完成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氣球擴張</w:t>
            </w:r>
          </w:p>
        </w:tc>
      </w:tr>
      <w:tr w:rsidR="00000000">
        <w:trPr>
          <w:divId w:val="469369557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轉院病人（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</w:tr>
    </w:tbl>
    <w:p w:rsidR="00A334CE" w:rsidRDefault="00A334CE">
      <w:pPr>
        <w:numPr>
          <w:ilvl w:val="0"/>
          <w:numId w:val="2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常見溶栓藥物：</w:t>
      </w:r>
    </w:p>
    <w:p w:rsidR="00A334CE" w:rsidRDefault="00A334CE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Tenecteplase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TNK-tPA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0"/>
          <w:numId w:val="2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禁忌症（國考愛考）</w:t>
      </w:r>
    </w:p>
    <w:p w:rsidR="00A334CE" w:rsidRDefault="00A334CE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近期出血性中風</w:t>
      </w:r>
    </w:p>
    <w:p w:rsidR="00A334CE" w:rsidRDefault="00A334CE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活動性內出血（如消化道出血）</w:t>
      </w:r>
    </w:p>
    <w:p w:rsidR="00A334CE" w:rsidRDefault="00A334CE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未控制的高血壓（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SBP &gt;180 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334CE" w:rsidRDefault="00A334CE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主動脈剝離疑慮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25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急性期藥物治療（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MONA-B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3040"/>
        <w:gridCol w:w="3862"/>
      </w:tblGrid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縮寫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</w:t>
            </w:r>
          </w:p>
        </w:tc>
      </w:tr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Morphine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緩解疼痛，減少交感興奮</w:t>
            </w:r>
          </w:p>
        </w:tc>
      </w:tr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Oxygen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僅限於血氧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&lt;90%</w:t>
            </w:r>
          </w:p>
        </w:tc>
      </w:tr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緩解心絞痛，但不可用於右心室梗塞</w:t>
            </w:r>
          </w:p>
        </w:tc>
      </w:tr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300 mg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受體拮抗劑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（雙重抗血小板治療），如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</w:tr>
      <w:tr w:rsidR="00000000">
        <w:trPr>
          <w:divId w:val="12723933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減少心肌氧耗，避免再發生心律不整</w:t>
            </w:r>
          </w:p>
        </w:tc>
      </w:tr>
    </w:tbl>
    <w:p w:rsidR="00A334CE" w:rsidRDefault="00A334CE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334CE" w:rsidRDefault="00A334CE">
      <w:pPr>
        <w:numPr>
          <w:ilvl w:val="0"/>
          <w:numId w:val="26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住院與長期治療</w:t>
      </w:r>
    </w:p>
    <w:p w:rsidR="00A334CE" w:rsidRDefault="00A334CE">
      <w:pPr>
        <w:numPr>
          <w:ilvl w:val="1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（雙重抗血小板治療）：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+ P2Y12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抑制劑（至少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（高強度）：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40-80 mg / Rosuvastatin 20-40 mg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 / 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：減少心臟重塑，預防心衰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Beta-blocker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：降低猝死風險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Aldosterone antagonist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Spironolactone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LVEF &lt;40%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或合併心衰患者</w:t>
      </w:r>
    </w:p>
    <w:p w:rsidR="00A334CE" w:rsidRDefault="00A334CE">
      <w:pPr>
        <w:numPr>
          <w:ilvl w:val="1"/>
          <w:numId w:val="26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生活習慣調整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戒菸（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Smoking cessation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控制三高（高血壓、糖尿病、高血脂）</w:t>
      </w:r>
    </w:p>
    <w:p w:rsidR="00A334CE" w:rsidRDefault="00A334CE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規律運動（適量有氧運動）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0"/>
        <w:gridCol w:w="2481"/>
        <w:gridCol w:w="2219"/>
        <w:gridCol w:w="1946"/>
      </w:tblGrid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（不穩定型心絞痛）</w:t>
            </w:r>
          </w:p>
        </w:tc>
        <w:tc>
          <w:tcPr>
            <w:tcW w:w="2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血管阻塞程度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&gt;30 min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心肌壞死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有（更嚴重）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心肌酵素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變化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可能正常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 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個相鄰導程）</w:t>
            </w:r>
          </w:p>
        </w:tc>
      </w:tr>
      <w:tr w:rsidR="00000000">
        <w:trPr>
          <w:divId w:val="140275644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主要治療</w:t>
            </w:r>
          </w:p>
        </w:tc>
        <w:tc>
          <w:tcPr>
            <w:tcW w:w="2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抗血小板、抗凝、硝酸鹽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急診再灌注治療（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PCI /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A334CE" w:rsidRDefault="00A334CE">
      <w:pPr>
        <w:numPr>
          <w:ilvl w:val="0"/>
          <w:numId w:val="27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記憶要點</w:t>
      </w:r>
    </w:p>
    <w:p w:rsidR="00A334CE" w:rsidRDefault="00A334CE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最大區別：心肌酵素是否上升（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A334CE" w:rsidRDefault="00A334CE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無）</w:t>
      </w:r>
    </w:p>
    <w:p w:rsidR="00A334CE" w:rsidRDefault="00A334CE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必須緊急再灌注治療（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或溶栓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numPr>
          <w:ilvl w:val="0"/>
          <w:numId w:val="2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8"/>
        <w:gridCol w:w="1512"/>
        <w:gridCol w:w="1612"/>
        <w:gridCol w:w="1395"/>
        <w:gridCol w:w="1865"/>
        <w:gridCol w:w="1393"/>
      </w:tblGrid>
      <w:tr w:rsidR="00000000">
        <w:trPr>
          <w:divId w:val="1504197918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作用機制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抗血小板藥物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TXA2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減少血小板聚集，預防血栓形成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胃潰瘍、出血風險、氣喘（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AERD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長期使用需注意消化道潰瘍，可與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PPI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），抑制血小板聚集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），預防支架血栓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出血、血小板減少症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選擇藥物依患者特徵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代謝，藥效延遲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反應較差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基因多型性影響藥效，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避免使用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Prasugrel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，作用強於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更快、更強，但出血風險高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出血風險較高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歲以上、低體重（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&lt;60 kg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）、卒中病史禁用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，非前驅藥（直接作用）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更快、更強，不受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Dyspnea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）、高尿酸血症、出血風險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BID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服用，依從性較差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UFH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透過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 III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&amp; Xa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前常用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HIT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aPTT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風險高時避免使用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Enoxaparin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LMWH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，部分抑制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半衰期較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UFH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長，皮下注射給藥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肌酐清除率（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CrCl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時調整劑量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Bivalirudin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），不經過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可替代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Heparin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，降低出血風險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風險高者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cGMP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，血管擴張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緩解心絞痛、降低心肌耗氧量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頭痛、低血壓、反射性心動過速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PDE5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抑制劑者（如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Sildenafil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04197918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（選擇性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受體，減少心肌收縮力與心率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降低心肌氧需求，減少猝死風險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禁忌：心源性休克、急性心衰竭、嚴重支氣管痙攣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合併低血壓或心動過緩者應避免使用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ACEI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Ramipril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降低血壓、減少心臟重塑，適用於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LVEF &lt;40%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或糖尿病患者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特有）、高血鉀、低血壓、腎功能惡化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腎動脈狹窄患者禁用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ARB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AT1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ACEI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，但無乾咳副作用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腎功能不佳患者需監測血鉀</w:t>
            </w:r>
          </w:p>
        </w:tc>
      </w:tr>
      <w:tr w:rsidR="00000000">
        <w:trPr>
          <w:divId w:val="1504197918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還原酶抑制劑）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 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 mg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還原酶，減少肝臟膽固醇合成，增加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顯著降低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，穩定斑塊，抗發炎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肝酵素上升、肌肉痠痛（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）、橫紋肌溶解（罕見）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需監測肝功能及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（若有肌肉症狀）</w:t>
            </w:r>
          </w:p>
        </w:tc>
      </w:tr>
      <w:tr w:rsidR="00000000">
        <w:trPr>
          <w:divId w:val="1504197918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Rosuvastatin 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 mg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效力更強的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高強度降脂，適用於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腎功能不佳者須調整劑量，類似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34CE" w:rsidRDefault="00A334C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CrCl 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時，建議減量</w:t>
            </w:r>
          </w:p>
        </w:tc>
      </w:tr>
    </w:tbl>
    <w:p w:rsidR="00A334CE" w:rsidRDefault="00A334C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334CE" w:rsidRDefault="00A334CE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A334CE" w:rsidRDefault="00A334CE">
      <w:pPr>
        <w:numPr>
          <w:ilvl w:val="0"/>
          <w:numId w:val="29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A334CE" w:rsidRDefault="00A334CE">
      <w:pPr>
        <w:numPr>
          <w:ilvl w:val="0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STEMI</w:t>
      </w:r>
    </w:p>
    <w:p w:rsidR="00A334CE" w:rsidRDefault="00A334CE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https://www.tsoc.org.tw/upload/files/acs-39-004-1(1).pdf</w:t>
        </w:r>
      </w:hyperlink>
    </w:p>
    <w:p w:rsidR="00A334CE" w:rsidRDefault="00A334CE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https://www.tsoc.org.tw/upload/files/2018%20Guidelines%20of%20TSOC_EM%20and%20TSCI%20for%20the%20management%20of%20non%20ST-segment%20elevation%20acute%20coronary%20syndrome(1).pdf</w:t>
        </w:r>
      </w:hyperlink>
    </w:p>
    <w:p w:rsidR="00A334CE" w:rsidRDefault="00A334CE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https://www.ahajournals.org/doi/10.1161/CIR.0000000000001309</w:t>
        </w:r>
      </w:hyperlink>
    </w:p>
    <w:p w:rsidR="00A334CE" w:rsidRDefault="00A334CE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https://commons.wikimedia.org/wiki/File:Coronary_vessels,_with_annotated_arteries.svg</w:t>
        </w:r>
      </w:hyperlink>
    </w:p>
    <w:p w:rsidR="00A334CE" w:rsidRDefault="00A334C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34CE" w:rsidRDefault="00A334CE" w:rsidP="00A334CE">
      <w:r>
        <w:separator/>
      </w:r>
    </w:p>
  </w:endnote>
  <w:endnote w:type="continuationSeparator" w:id="0">
    <w:p w:rsidR="00A334CE" w:rsidRDefault="00A334CE" w:rsidP="00A3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34CE" w:rsidRDefault="00A334CE" w:rsidP="00A334CE">
      <w:r>
        <w:separator/>
      </w:r>
    </w:p>
  </w:footnote>
  <w:footnote w:type="continuationSeparator" w:id="0">
    <w:p w:rsidR="00A334CE" w:rsidRDefault="00A334CE" w:rsidP="00A3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9E8"/>
    <w:multiLevelType w:val="multilevel"/>
    <w:tmpl w:val="676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B1A96"/>
    <w:multiLevelType w:val="multilevel"/>
    <w:tmpl w:val="21CCF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EF2D93"/>
    <w:multiLevelType w:val="multilevel"/>
    <w:tmpl w:val="4F0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76A7D"/>
    <w:multiLevelType w:val="multilevel"/>
    <w:tmpl w:val="356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1289B"/>
    <w:multiLevelType w:val="multilevel"/>
    <w:tmpl w:val="103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43A24"/>
    <w:multiLevelType w:val="multilevel"/>
    <w:tmpl w:val="48BA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C177D"/>
    <w:multiLevelType w:val="multilevel"/>
    <w:tmpl w:val="8B78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71ED6"/>
    <w:multiLevelType w:val="multilevel"/>
    <w:tmpl w:val="55B2E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665E51"/>
    <w:multiLevelType w:val="multilevel"/>
    <w:tmpl w:val="352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D2979"/>
    <w:multiLevelType w:val="multilevel"/>
    <w:tmpl w:val="8D8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A7BE5"/>
    <w:multiLevelType w:val="multilevel"/>
    <w:tmpl w:val="CD0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2518E"/>
    <w:multiLevelType w:val="multilevel"/>
    <w:tmpl w:val="D77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2E089F"/>
    <w:multiLevelType w:val="multilevel"/>
    <w:tmpl w:val="B6C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5B4B79"/>
    <w:multiLevelType w:val="multilevel"/>
    <w:tmpl w:val="2C3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3D7D3B"/>
    <w:multiLevelType w:val="multilevel"/>
    <w:tmpl w:val="264C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C35A0"/>
    <w:multiLevelType w:val="multilevel"/>
    <w:tmpl w:val="EE42D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A565676"/>
    <w:multiLevelType w:val="multilevel"/>
    <w:tmpl w:val="5F7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CD2B14"/>
    <w:multiLevelType w:val="multilevel"/>
    <w:tmpl w:val="B63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075E27"/>
    <w:multiLevelType w:val="multilevel"/>
    <w:tmpl w:val="A0E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A72F7E"/>
    <w:multiLevelType w:val="multilevel"/>
    <w:tmpl w:val="613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956001"/>
    <w:multiLevelType w:val="multilevel"/>
    <w:tmpl w:val="80BC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F37366"/>
    <w:multiLevelType w:val="multilevel"/>
    <w:tmpl w:val="B07C2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0F84952"/>
    <w:multiLevelType w:val="multilevel"/>
    <w:tmpl w:val="33F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26AF1"/>
    <w:multiLevelType w:val="multilevel"/>
    <w:tmpl w:val="C84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7162D7"/>
    <w:multiLevelType w:val="multilevel"/>
    <w:tmpl w:val="3F7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6E17A4"/>
    <w:multiLevelType w:val="multilevel"/>
    <w:tmpl w:val="5EF0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D4C61"/>
    <w:multiLevelType w:val="multilevel"/>
    <w:tmpl w:val="E64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B22E29"/>
    <w:multiLevelType w:val="multilevel"/>
    <w:tmpl w:val="378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C81C56"/>
    <w:multiLevelType w:val="multilevel"/>
    <w:tmpl w:val="73F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E42569"/>
    <w:multiLevelType w:val="multilevel"/>
    <w:tmpl w:val="161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092738"/>
    <w:multiLevelType w:val="multilevel"/>
    <w:tmpl w:val="87E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546736">
    <w:abstractNumId w:val="29"/>
  </w:num>
  <w:num w:numId="2" w16cid:durableId="638650237">
    <w:abstractNumId w:val="3"/>
  </w:num>
  <w:num w:numId="3" w16cid:durableId="68503193">
    <w:abstractNumId w:val="30"/>
  </w:num>
  <w:num w:numId="4" w16cid:durableId="829103601">
    <w:abstractNumId w:val="16"/>
  </w:num>
  <w:num w:numId="5" w16cid:durableId="667056052">
    <w:abstractNumId w:val="12"/>
  </w:num>
  <w:num w:numId="6" w16cid:durableId="1967926372">
    <w:abstractNumId w:val="2"/>
  </w:num>
  <w:num w:numId="7" w16cid:durableId="1932814538">
    <w:abstractNumId w:val="8"/>
  </w:num>
  <w:num w:numId="8" w16cid:durableId="955988823">
    <w:abstractNumId w:val="21"/>
  </w:num>
  <w:num w:numId="9" w16cid:durableId="176428994">
    <w:abstractNumId w:val="4"/>
  </w:num>
  <w:num w:numId="10" w16cid:durableId="1368216527">
    <w:abstractNumId w:val="5"/>
  </w:num>
  <w:num w:numId="11" w16cid:durableId="646208402">
    <w:abstractNumId w:val="28"/>
  </w:num>
  <w:num w:numId="12" w16cid:durableId="765617524">
    <w:abstractNumId w:val="11"/>
  </w:num>
  <w:num w:numId="13" w16cid:durableId="1264000517">
    <w:abstractNumId w:val="19"/>
  </w:num>
  <w:num w:numId="14" w16cid:durableId="561872475">
    <w:abstractNumId w:val="23"/>
  </w:num>
  <w:num w:numId="15" w16cid:durableId="268897028">
    <w:abstractNumId w:val="27"/>
  </w:num>
  <w:num w:numId="16" w16cid:durableId="1091123016">
    <w:abstractNumId w:val="10"/>
  </w:num>
  <w:num w:numId="17" w16cid:durableId="429736379">
    <w:abstractNumId w:val="1"/>
  </w:num>
  <w:num w:numId="18" w16cid:durableId="1753353266">
    <w:abstractNumId w:val="17"/>
  </w:num>
  <w:num w:numId="19" w16cid:durableId="974526227">
    <w:abstractNumId w:val="9"/>
  </w:num>
  <w:num w:numId="20" w16cid:durableId="1299068684">
    <w:abstractNumId w:val="14"/>
  </w:num>
  <w:num w:numId="21" w16cid:durableId="8603750">
    <w:abstractNumId w:val="26"/>
  </w:num>
  <w:num w:numId="22" w16cid:durableId="1096561072">
    <w:abstractNumId w:val="13"/>
  </w:num>
  <w:num w:numId="23" w16cid:durableId="605818732">
    <w:abstractNumId w:val="7"/>
  </w:num>
  <w:num w:numId="24" w16cid:durableId="1609657834">
    <w:abstractNumId w:val="15"/>
  </w:num>
  <w:num w:numId="25" w16cid:durableId="883760949">
    <w:abstractNumId w:val="0"/>
  </w:num>
  <w:num w:numId="26" w16cid:durableId="927543634">
    <w:abstractNumId w:val="24"/>
  </w:num>
  <w:num w:numId="27" w16cid:durableId="588198897">
    <w:abstractNumId w:val="18"/>
  </w:num>
  <w:num w:numId="28" w16cid:durableId="556941194">
    <w:abstractNumId w:val="20"/>
  </w:num>
  <w:num w:numId="29" w16cid:durableId="868644764">
    <w:abstractNumId w:val="6"/>
    <w:lvlOverride w:ilvl="0">
      <w:startOverride w:val="1"/>
    </w:lvlOverride>
  </w:num>
  <w:num w:numId="30" w16cid:durableId="991832720">
    <w:abstractNumId w:val="22"/>
    <w:lvlOverride w:ilvl="0">
      <w:startOverride w:val="2"/>
    </w:lvlOverride>
  </w:num>
  <w:num w:numId="31" w16cid:durableId="519200047">
    <w:abstractNumId w:val="25"/>
    <w:lvlOverride w:ilvl="0">
      <w:startOverride w:val="3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CE"/>
    <w:rsid w:val="00A334CE"/>
    <w:rsid w:val="00C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F2C7B8-B9D4-4961-AF53-38372A53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33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334C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33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334C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oc.org.tw/upload/files/acs-39-004-1(1)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Coronary_vessels,_with_annotated_arteries.sv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hajournals.org/doi/10.1161/CIR.0000000000001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soc.org.tw/upload/files/2018%20Guidelines%20of%20TSOC_EM%20and%20TSCI%20for%20the%20management%20of%20non%20ST-segment%20elevation%20acute%20coronary%20syndrome(1)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