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349C" w:rsidRDefault="0039349C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GERD </w:t>
      </w:r>
    </w:p>
    <w:p w:rsidR="0039349C" w:rsidRDefault="0039349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39349C" w:rsidRDefault="0039349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11:19 PM</w:t>
      </w:r>
    </w:p>
    <w:p w:rsidR="0039349C" w:rsidRDefault="0039349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9349C" w:rsidRDefault="0039349C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9349C" w:rsidRDefault="0039349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9349C" w:rsidRDefault="0039349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9349C" w:rsidRDefault="0039349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9349C" w:rsidRDefault="0039349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9349C" w:rsidRDefault="0039349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9349C" w:rsidRDefault="0039349C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</w:t>
      </w:r>
    </w:p>
    <w:p w:rsidR="0039349C" w:rsidRDefault="0039349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胃食道逆流疾病（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Gastroesophageal Reflux Disease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GERD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）是指</w:t>
      </w:r>
      <w:r>
        <w:rPr>
          <w:rFonts w:ascii="微軟正黑體" w:eastAsia="微軟正黑體" w:hAnsi="微軟正黑體" w:cs="Calibri" w:hint="eastAsia"/>
          <w:sz w:val="28"/>
          <w:szCs w:val="28"/>
        </w:rPr>
        <w:t>胃酸及胃內容物不正常地向上逆流進入食道，造成食道黏膜損傷或引發相關症狀的疾病</w:t>
      </w:r>
    </w:p>
    <w:p w:rsidR="0039349C" w:rsidRDefault="0039349C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病生理機轉</w:t>
      </w:r>
    </w:p>
    <w:p w:rsidR="0039349C" w:rsidRDefault="0039349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主要機制：</w:t>
      </w:r>
    </w:p>
    <w:p w:rsidR="0039349C" w:rsidRDefault="0039349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胃酸和胃蛋白酶引起食道黏膜發炎反應</w:t>
      </w:r>
    </w:p>
    <w:p w:rsidR="0039349C" w:rsidRDefault="0039349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經由細胞激素介導的發炎途徑，而非直接的腐蝕性傷害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39349C" w:rsidRDefault="0039349C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食道胃接合處功能異常的三大機制：</w:t>
      </w:r>
    </w:p>
    <w:p w:rsidR="0039349C" w:rsidRDefault="0039349C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食道括約肌暫時性鬆弛（經由迷走神經反射）</w:t>
      </w:r>
    </w:p>
    <w:p w:rsidR="0039349C" w:rsidRDefault="0039349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是一種迷走神經反射</w:t>
      </w:r>
    </w:p>
    <w:p w:rsidR="0039349C" w:rsidRDefault="0039349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由胃部脹大引起</w:t>
      </w:r>
    </w:p>
    <w:p w:rsidR="0039349C" w:rsidRDefault="0039349C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食道括約肌張力過低</w:t>
      </w:r>
    </w:p>
    <w:p w:rsidR="0039349C" w:rsidRDefault="0039349C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食道胃接合處解剖結構異常（包括裂孔疝氣）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 </w:t>
      </w:r>
    </w:p>
    <w:p w:rsidR="0039349C" w:rsidRDefault="0039349C">
      <w:pPr>
        <w:numPr>
          <w:ilvl w:val="1"/>
          <w:numId w:val="2"/>
        </w:numPr>
        <w:spacing w:line="4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30"/>
          <w:szCs w:val="30"/>
        </w:rPr>
        <w:t>胃液清除機制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：</w:t>
      </w:r>
    </w:p>
    <w:p w:rsidR="0039349C" w:rsidRDefault="0039349C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正常清除過程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:</w:t>
      </w:r>
    </w:p>
    <w:p w:rsidR="0039349C" w:rsidRDefault="0039349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食道蠕動將逆流液體送回胃部</w:t>
      </w:r>
    </w:p>
    <w:p w:rsidR="0039349C" w:rsidRDefault="0039349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吞嚥的唾液中的碳酸氫鹽中和殘餘酸性物質</w:t>
      </w:r>
    </w:p>
    <w:p w:rsidR="0039349C" w:rsidRDefault="0039349C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清除機制受損原因</w:t>
      </w:r>
    </w:p>
    <w:p w:rsidR="0039349C" w:rsidRDefault="0039349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蠕動功能障礙</w:t>
      </w:r>
    </w:p>
    <w:p w:rsidR="0039349C" w:rsidRDefault="0039349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唾液分泌減少</w:t>
      </w:r>
    </w:p>
    <w:p w:rsidR="0039349C" w:rsidRDefault="0039349C">
      <w:pPr>
        <w:pStyle w:val="Web"/>
        <w:spacing w:before="0" w:beforeAutospacing="0" w:after="0" w:afterAutospacing="0" w:line="320" w:lineRule="atLeast"/>
        <w:ind w:left="1080"/>
        <w:rPr>
          <w:rFonts w:ascii="微軟正黑體" w:eastAsia="微軟正黑體" w:hAnsi="微軟正黑體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 </w:t>
      </w:r>
    </w:p>
    <w:p w:rsidR="0039349C" w:rsidRDefault="0039349C">
      <w:pPr>
        <w:numPr>
          <w:ilvl w:val="0"/>
          <w:numId w:val="3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lastRenderedPageBreak/>
        <w:t>風險因素：</w:t>
      </w:r>
    </w:p>
    <w:p w:rsidR="0039349C" w:rsidRDefault="0039349C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腹部肥胖</w:t>
      </w:r>
    </w:p>
    <w:p w:rsidR="0039349C" w:rsidRDefault="0039349C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懷孕</w:t>
      </w:r>
    </w:p>
    <w:p w:rsidR="0039349C" w:rsidRDefault="0039349C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胃酸分泌過多</w:t>
      </w:r>
    </w:p>
    <w:p w:rsidR="0039349C" w:rsidRDefault="0039349C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胃排空延遲</w:t>
      </w:r>
    </w:p>
    <w:p w:rsidR="0039349C" w:rsidRDefault="0039349C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食道蠕動功能障礙</w:t>
      </w:r>
    </w:p>
    <w:p w:rsidR="0039349C" w:rsidRDefault="0039349C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暴飲暴食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39349C" w:rsidRDefault="0039349C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Zollinger-Ellison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症候群</w:t>
      </w:r>
    </w:p>
    <w:p w:rsidR="0039349C" w:rsidRDefault="0039349C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膽汁</w:t>
      </w:r>
    </w:p>
    <w:p w:rsidR="0039349C" w:rsidRDefault="0039349C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胃蛋白酶</w:t>
      </w:r>
    </w:p>
    <w:p w:rsidR="0039349C" w:rsidRDefault="0039349C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胰臟酵素</w:t>
      </w:r>
    </w:p>
    <w:p w:rsidR="0039349C" w:rsidRDefault="0039349C">
      <w:pPr>
        <w:numPr>
          <w:ilvl w:val="0"/>
          <w:numId w:val="3"/>
        </w:numPr>
        <w:spacing w:line="28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幽門桿菌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:</w:t>
      </w:r>
    </w:p>
    <w:p w:rsidR="0039349C" w:rsidRDefault="0039349C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與胃食道逆流無直接關係</w:t>
      </w:r>
    </w:p>
    <w:p w:rsidR="0039349C" w:rsidRDefault="0039349C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可能透過慢性胃炎減少胃酸分泌，反而形成保護效果</w:t>
      </w:r>
    </w:p>
    <w:p w:rsidR="0039349C" w:rsidRDefault="0039349C">
      <w:pPr>
        <w:pStyle w:val="Web"/>
        <w:spacing w:before="0" w:beforeAutospacing="0" w:after="0" w:afterAutospacing="0" w:line="420" w:lineRule="atLeast"/>
        <w:ind w:left="54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39349C" w:rsidRDefault="0039349C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症狀</w:t>
      </w:r>
    </w:p>
    <w:p w:rsidR="0039349C" w:rsidRDefault="0039349C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主要症狀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胸口灼熱感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(Heartburn)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逆流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(Regurgitation):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口腔有酸味</w:t>
      </w:r>
    </w:p>
    <w:p w:rsidR="0039349C" w:rsidRDefault="0039349C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次要症狀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吞嚥困難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(Dysphagia)</w:t>
      </w:r>
    </w:p>
    <w:p w:rsidR="0039349C" w:rsidRDefault="0039349C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消化性狹窄</w:t>
      </w:r>
    </w:p>
    <w:p w:rsidR="0039349C" w:rsidRDefault="0039349C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嗜酸性食道炎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(EoE)</w:t>
      </w:r>
    </w:p>
    <w:p w:rsidR="0039349C" w:rsidRDefault="0039349C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癌症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胸痛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(chest pain)</w:t>
      </w:r>
    </w:p>
    <w:p w:rsidR="0039349C" w:rsidRDefault="0039349C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可能為長期嚴重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GERD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的症狀</w:t>
      </w:r>
    </w:p>
    <w:p w:rsidR="0039349C" w:rsidRDefault="0039349C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需仔細鑑別心臟問題</w:t>
      </w:r>
    </w:p>
    <w:p w:rsidR="0039349C" w:rsidRDefault="0039349C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食道外症狀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慢性咳嗽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喉炎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氣喘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牙齒侵蝕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吸入性肺炎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睡眠呼吸中止症</w:t>
      </w:r>
    </w:p>
    <w:p w:rsidR="0039349C" w:rsidRDefault="0039349C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39349C" w:rsidRDefault="0039349C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診斷工具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內視鏡檢查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上消化道攝影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食道壓力檢查</w:t>
      </w:r>
    </w:p>
    <w:p w:rsidR="0039349C" w:rsidRDefault="0039349C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內視鏡</w:t>
      </w:r>
    </w:p>
    <w:p w:rsidR="0039349C" w:rsidRDefault="0039349C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各類食道炎內視鏡特徵</w:t>
      </w:r>
    </w:p>
    <w:p w:rsidR="0039349C" w:rsidRDefault="0039349C">
      <w:pPr>
        <w:numPr>
          <w:ilvl w:val="2"/>
          <w:numId w:val="4"/>
        </w:numPr>
        <w:textAlignment w:val="center"/>
        <w:divId w:val="1310743644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67"/>
        <w:gridCol w:w="1248"/>
        <w:gridCol w:w="1361"/>
        <w:gridCol w:w="1450"/>
      </w:tblGrid>
      <w:tr w:rsidR="00000000">
        <w:trPr>
          <w:divId w:val="1310743644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食道炎類型</w:t>
            </w:r>
          </w:p>
        </w:tc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潰瘍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病灶特徵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分布位置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其他特徵</w:t>
            </w:r>
          </w:p>
        </w:tc>
      </w:tr>
      <w:tr w:rsidR="00000000">
        <w:trPr>
          <w:divId w:val="1310743644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消化性食道炎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(Peptic)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潰瘍數量少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表淺性糜爛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主要在遠端食道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食道胃接合處</w:t>
            </w:r>
          </w:p>
        </w:tc>
        <w:tc>
          <w:tcPr>
            <w:tcW w:w="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- LA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分級可評估嚴重度</w:t>
            </w:r>
          </w:p>
        </w:tc>
      </w:tr>
      <w:tr w:rsidR="00000000">
        <w:trPr>
          <w:divId w:val="1310743644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感染性食道炎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(Infectious)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多發性潰瘍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點狀分布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表淺性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瀰漫性分布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可見於各個部位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常伴隨白苔覆蓋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邊緣不規則</w:t>
            </w:r>
          </w:p>
        </w:tc>
      </w:tr>
      <w:tr w:rsidR="00000000">
        <w:trPr>
          <w:divId w:val="1310743644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嗜酸性食道炎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(EoE)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通常無明顯潰瘍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可見於全食道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多發性食道環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縱行溝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白色點狀滲出物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黏膜脆弱</w:t>
            </w:r>
          </w:p>
        </w:tc>
      </w:tr>
      <w:tr w:rsidR="00000000">
        <w:trPr>
          <w:divId w:val="1310743644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藥物性食道炎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(Pill)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單一潰瘍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深部潰瘍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常見於管腔狹窄處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特別是隆突處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遠端食道通常正常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潰瘍邊緣清晰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周圍黏膜正常</w:t>
            </w:r>
          </w:p>
        </w:tc>
      </w:tr>
    </w:tbl>
    <w:p w:rsidR="0039349C" w:rsidRDefault="0039349C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LA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分類（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Los Angeles Classification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9349C" w:rsidRDefault="0039349C">
      <w:pPr>
        <w:numPr>
          <w:ilvl w:val="2"/>
          <w:numId w:val="4"/>
        </w:numPr>
        <w:textAlignment w:val="center"/>
        <w:divId w:val="1042946721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7"/>
        <w:gridCol w:w="5139"/>
      </w:tblGrid>
      <w:tr w:rsidR="00000000">
        <w:trPr>
          <w:divId w:val="1042946721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分類等級</w:t>
            </w:r>
          </w:p>
        </w:tc>
        <w:tc>
          <w:tcPr>
            <w:tcW w:w="6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內視鏡特徵描述</w:t>
            </w:r>
          </w:p>
        </w:tc>
      </w:tr>
      <w:tr w:rsidR="00000000">
        <w:trPr>
          <w:divId w:val="1042946721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一條或多條黏膜破損，長度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 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，且未跨越黏膜皺褶間距</w:t>
            </w:r>
          </w:p>
        </w:tc>
      </w:tr>
      <w:tr w:rsidR="00000000">
        <w:trPr>
          <w:divId w:val="1042946721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一條或多條黏膜破損，長度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5 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，但仍未跨越黏膜皺褶間距</w:t>
            </w:r>
          </w:p>
        </w:tc>
      </w:tr>
      <w:tr w:rsidR="00000000">
        <w:trPr>
          <w:divId w:val="1042946721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黏膜破損延伸至跨越兩個或更多皺褶之間，但仍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75%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的食道周徑</w:t>
            </w:r>
          </w:p>
        </w:tc>
      </w:tr>
      <w:tr w:rsidR="00000000">
        <w:trPr>
          <w:divId w:val="1042946721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黏膜破損跨越至少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的食道周徑</w:t>
            </w:r>
          </w:p>
        </w:tc>
      </w:tr>
    </w:tbl>
    <w:p w:rsidR="0039349C" w:rsidRDefault="0039349C">
      <w:pPr>
        <w:pStyle w:val="Web"/>
        <w:spacing w:before="120" w:beforeAutospacing="0" w:after="120" w:afterAutospacing="0" w:line="420" w:lineRule="atLeast"/>
        <w:ind w:left="54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39349C" w:rsidRDefault="0039349C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長期併發症</w:t>
      </w:r>
    </w:p>
    <w:p w:rsidR="0039349C" w:rsidRDefault="0039349C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慢性食道炎</w:t>
      </w:r>
    </w:p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出血、食道狹窄</w:t>
      </w:r>
    </w:p>
    <w:p w:rsidR="0039349C" w:rsidRDefault="0039349C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巴瑞特氏食道</w:t>
      </w:r>
    </w:p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內視鏡下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胃食道接合處向上延伸的鮭魚紅色黏膜</w:t>
      </w:r>
    </w:p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腸化生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(intestinal metaplasia)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食道下段的鱗狀上皮被柱狀上皮取代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杯細胞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(Goblet cell)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產生</w:t>
      </w:r>
    </w:p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有癌化風險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腺癌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high-dose proton pump inhibitor (PPI) </w:t>
      </w:r>
      <w:r>
        <w:rPr>
          <w:rFonts w:ascii="微軟正黑體" w:eastAsia="微軟正黑體" w:hAnsi="微軟正黑體" w:cs="Calibri" w:hint="eastAsia"/>
          <w:sz w:val="22"/>
          <w:szCs w:val="22"/>
        </w:rPr>
        <w:t>合併</w:t>
      </w:r>
      <w:r>
        <w:rPr>
          <w:rFonts w:ascii="微軟正黑體" w:eastAsia="微軟正黑體" w:hAnsi="微軟正黑體" w:cs="Calibri" w:hint="eastAsia"/>
          <w:sz w:val="22"/>
          <w:szCs w:val="22"/>
        </w:rPr>
        <w:br/>
        <w:t xml:space="preserve">aspirin </w:t>
      </w:r>
    </w:p>
    <w:p w:rsidR="0039349C" w:rsidRDefault="0039349C">
      <w:pPr>
        <w:numPr>
          <w:ilvl w:val="4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無法阻止癌化風險</w:t>
      </w:r>
    </w:p>
    <w:p w:rsidR="0039349C" w:rsidRDefault="0039349C">
      <w:pPr>
        <w:numPr>
          <w:ilvl w:val="4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能延長整體生存率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對於高度異生組織，建議使用內視鏡電燒治療</w:t>
      </w:r>
    </w:p>
    <w:p w:rsidR="0039349C" w:rsidRDefault="0039349C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39349C" w:rsidRDefault="0039349C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生活調整</w:t>
      </w:r>
    </w:p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避免「致逆流」食物：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 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高脂肪食物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酒精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留蘭香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薄荷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咖啡和茶</w:t>
      </w:r>
    </w:p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避免刺激性酸性食物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柑橘類水果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番茄類食物</w:t>
      </w:r>
    </w:p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其他行為建議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抬高床頭（針對夜間症狀）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避免睡前進食</w:t>
      </w:r>
    </w:p>
    <w:p w:rsidR="0039349C" w:rsidRDefault="0039349C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減重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（具有強烈流行病學證據支持）</w:t>
      </w:r>
    </w:p>
    <w:p w:rsidR="0039349C" w:rsidRDefault="0039349C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藥物治療</w:t>
      </w:r>
    </w:p>
    <w:p w:rsidR="0039349C" w:rsidRDefault="0039349C">
      <w:pPr>
        <w:numPr>
          <w:ilvl w:val="2"/>
          <w:numId w:val="5"/>
        </w:numPr>
        <w:textAlignment w:val="center"/>
        <w:divId w:val="298144586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0"/>
        <w:gridCol w:w="1779"/>
        <w:gridCol w:w="795"/>
        <w:gridCol w:w="948"/>
        <w:gridCol w:w="972"/>
        <w:gridCol w:w="812"/>
      </w:tblGrid>
      <w:tr w:rsidR="00000000">
        <w:trPr>
          <w:divId w:val="29814458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藥物分類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代表藥物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作用機制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主要功效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副作用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特殊注意事項</w:t>
            </w:r>
          </w:p>
        </w:tc>
      </w:tr>
      <w:tr w:rsidR="00000000">
        <w:trPr>
          <w:divId w:val="29814458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制酸劑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氫氧化鋁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氫氧化鎂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中和胃酸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快速緩解胃酸症狀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便秘（鋁）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腹瀉（鎂）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影響礦物質吸收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與其他藥物間隔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小時服用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不適合長期使用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腎功能不全者需謹慎</w:t>
            </w:r>
          </w:p>
        </w:tc>
      </w:tr>
      <w:tr w:rsidR="00000000">
        <w:trPr>
          <w:divId w:val="29814458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黏膜保護劑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Sucralfate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在胃黏膜形成保護膜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保護受損黏膜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促進傷口癒合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便秘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影響藥物吸收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需空腹服用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與其他藥物間隔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</w:t>
            </w:r>
          </w:p>
        </w:tc>
      </w:tr>
      <w:tr w:rsidR="00000000">
        <w:trPr>
          <w:divId w:val="29814458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H2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受體拮抗劑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Ranitidine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Famotidine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抑制組織胺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H2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受體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中度抑制胃酸分泌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腹瀉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疲倦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精神混亂（老年人）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腎功能不全需調整劑量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可能影響精神科藥物代謝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長期使用可能產生耐受性</w:t>
            </w:r>
          </w:p>
        </w:tc>
      </w:tr>
      <w:tr w:rsidR="00000000">
        <w:trPr>
          <w:divId w:val="29814458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質子幫浦抑制劑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  <w:t>(PPIs)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Omeprazole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Esomeprazole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Lansoprazole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抑制胃壁細胞質子幫浦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強效且持久抑制胃酸分泌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腹瀉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維生素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B12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缺乏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骨質疏鬆風險增加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腎功能損害風險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腸道菌群失調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可能影響抗憂鬱藥物代謝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長期使用需定期評估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監測骨密度和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B12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水平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停藥時需緩慢減量</w:t>
            </w:r>
          </w:p>
        </w:tc>
      </w:tr>
      <w:tr w:rsidR="00000000">
        <w:trPr>
          <w:divId w:val="29814458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胃腸蠕動促進劑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Mosapride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Domperidone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增加乙醯膽鹼釋放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促進胃腸蠕動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改善胃排空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降低逆流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緩解噁心嘔吐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錐體外症狀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靜躁不安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乳汁分泌增加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心律不整風險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349C" w:rsidRDefault="0039349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與抗精神病藥物併用風險高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使用時間不宜超過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週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老年人需降低劑量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注意心臟病史</w:t>
            </w:r>
          </w:p>
        </w:tc>
      </w:tr>
    </w:tbl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藥物治療以抑制胃酸分泌為主，其中</w:t>
      </w:r>
      <w:r>
        <w:rPr>
          <w:rFonts w:ascii="微軟正黑體" w:eastAsia="微軟正黑體" w:hAnsi="微軟正黑體" w:cs="Calibri" w:hint="eastAsia"/>
          <w:sz w:val="22"/>
          <w:szCs w:val="22"/>
        </w:rPr>
        <w:t>PPI</w:t>
      </w:r>
      <w:r>
        <w:rPr>
          <w:rFonts w:ascii="微軟正黑體" w:eastAsia="微軟正黑體" w:hAnsi="微軟正黑體" w:cs="Calibri" w:hint="eastAsia"/>
          <w:sz w:val="22"/>
          <w:szCs w:val="22"/>
        </w:rPr>
        <w:t>效果優於</w:t>
      </w:r>
      <w:r>
        <w:rPr>
          <w:rFonts w:ascii="微軟正黑體" w:eastAsia="微軟正黑體" w:hAnsi="微軟正黑體" w:cs="Calibri" w:hint="eastAsia"/>
          <w:sz w:val="22"/>
          <w:szCs w:val="22"/>
        </w:rPr>
        <w:t>H2R blocker</w:t>
      </w:r>
    </w:p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若以上藥物效果均不佳，可考慮加上膽酸結合劑</w:t>
      </w:r>
    </w:p>
    <w:p w:rsidR="0039349C" w:rsidRDefault="0039349C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手術治療</w:t>
      </w:r>
    </w:p>
    <w:p w:rsidR="0039349C" w:rsidRDefault="0039349C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腹腔鏡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Nissen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胃底折疊術</w:t>
      </w:r>
    </w:p>
    <w:p w:rsidR="0039349C" w:rsidRDefault="0039349C">
      <w:pPr>
        <w:pStyle w:val="Web"/>
        <w:spacing w:before="120" w:beforeAutospacing="0" w:after="120" w:afterAutospacing="0" w:line="360" w:lineRule="atLeast"/>
        <w:ind w:left="5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39349C" w:rsidRDefault="0039349C">
      <w:pPr>
        <w:numPr>
          <w:ilvl w:val="0"/>
          <w:numId w:val="6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39349C" w:rsidRDefault="0039349C">
      <w:pPr>
        <w:numPr>
          <w:ilvl w:val="1"/>
          <w:numId w:val="6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39349C" w:rsidRDefault="0039349C">
      <w:pPr>
        <w:numPr>
          <w:ilvl w:val="1"/>
          <w:numId w:val="6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  <w:sz w:val="28"/>
          <w:szCs w:val="28"/>
        </w:rPr>
        <w:t>Sharma P, Yadlapati R. Pathophysiology and treatment options for gastroesophageal reflux disease: looking beyond acid. Ann N Y Acad Sci. 2021 Feb;1486(1):3-14. doi: 10.1111/nyas.14501</w:t>
      </w:r>
    </w:p>
    <w:p w:rsidR="0039349C" w:rsidRDefault="0039349C">
      <w:pPr>
        <w:pStyle w:val="Web"/>
        <w:spacing w:before="120" w:beforeAutospacing="0" w:after="120" w:afterAutospacing="0" w:line="360" w:lineRule="atLeast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39349C" w:rsidRDefault="0039349C">
      <w:pPr>
        <w:pStyle w:val="Web"/>
        <w:spacing w:before="120" w:beforeAutospacing="0" w:after="120" w:afterAutospacing="0" w:line="360" w:lineRule="atLeast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39349C" w:rsidRDefault="0039349C">
      <w:pPr>
        <w:pStyle w:val="Web"/>
        <w:spacing w:before="120" w:beforeAutospacing="0" w:after="120" w:afterAutospacing="0" w:line="420" w:lineRule="atLeast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39349C" w:rsidRDefault="0039349C">
      <w:pPr>
        <w:pStyle w:val="Web"/>
        <w:spacing w:before="120" w:beforeAutospacing="0" w:after="120" w:afterAutospacing="0" w:line="420" w:lineRule="atLeast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39349C" w:rsidRDefault="0039349C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349C" w:rsidRDefault="0039349C" w:rsidP="0039349C">
      <w:r>
        <w:separator/>
      </w:r>
    </w:p>
  </w:endnote>
  <w:endnote w:type="continuationSeparator" w:id="0">
    <w:p w:rsidR="0039349C" w:rsidRDefault="0039349C" w:rsidP="0039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349C" w:rsidRDefault="0039349C" w:rsidP="0039349C">
      <w:r>
        <w:separator/>
      </w:r>
    </w:p>
  </w:footnote>
  <w:footnote w:type="continuationSeparator" w:id="0">
    <w:p w:rsidR="0039349C" w:rsidRDefault="0039349C" w:rsidP="00393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01D3"/>
    <w:multiLevelType w:val="multilevel"/>
    <w:tmpl w:val="3A5E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65AAD"/>
    <w:multiLevelType w:val="multilevel"/>
    <w:tmpl w:val="C79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345771"/>
    <w:multiLevelType w:val="multilevel"/>
    <w:tmpl w:val="9F58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72394E"/>
    <w:multiLevelType w:val="multilevel"/>
    <w:tmpl w:val="D558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16EF4"/>
    <w:multiLevelType w:val="multilevel"/>
    <w:tmpl w:val="AEF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AF1E6E"/>
    <w:multiLevelType w:val="multilevel"/>
    <w:tmpl w:val="0FA4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5298078">
    <w:abstractNumId w:val="3"/>
  </w:num>
  <w:num w:numId="2" w16cid:durableId="1831365003">
    <w:abstractNumId w:val="5"/>
  </w:num>
  <w:num w:numId="3" w16cid:durableId="627470653">
    <w:abstractNumId w:val="2"/>
  </w:num>
  <w:num w:numId="4" w16cid:durableId="1867206651">
    <w:abstractNumId w:val="0"/>
  </w:num>
  <w:num w:numId="5" w16cid:durableId="1158619883">
    <w:abstractNumId w:val="1"/>
  </w:num>
  <w:num w:numId="6" w16cid:durableId="187763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9C"/>
    <w:rsid w:val="0039349C"/>
    <w:rsid w:val="0058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EC5588-6440-4EBF-B41E-8A117448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93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349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93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349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4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