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34C8" w:rsidRDefault="004234C8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eastAsia="zh-CN"/>
        </w:rPr>
        <w:t>急性腹膜炎</w:t>
      </w: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 xml:space="preserve"> </w:t>
      </w:r>
      <w:r>
        <w:rPr>
          <w:rFonts w:ascii="Calibri Light" w:hAnsi="Calibri Light" w:cs="Calibri Light"/>
          <w:sz w:val="40"/>
          <w:szCs w:val="40"/>
        </w:rPr>
        <w:t>Peritonitis</w:t>
      </w:r>
    </w:p>
    <w:p w:rsidR="004234C8" w:rsidRDefault="004234C8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4234C8" w:rsidRDefault="004234C8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11:38 PM</w:t>
      </w:r>
    </w:p>
    <w:p w:rsidR="004234C8" w:rsidRDefault="004234C8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234C8" w:rsidRDefault="004234C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4234C8" w:rsidRDefault="004234C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4234C8" w:rsidRDefault="004234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4234C8" w:rsidRDefault="004234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4234C8" w:rsidRDefault="004234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4234C8" w:rsidRDefault="004234C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4234C8" w:rsidRDefault="004234C8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234C8" w:rsidRDefault="004234C8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 </w:t>
      </w:r>
    </w:p>
    <w:p w:rsidR="004234C8" w:rsidRDefault="004234C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定義與分類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06"/>
        <w:gridCol w:w="4780"/>
      </w:tblGrid>
      <w:tr w:rsidR="00000000">
        <w:trPr>
          <w:divId w:val="796533597"/>
        </w:trPr>
        <w:tc>
          <w:tcPr>
            <w:tcW w:w="2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類型</w:t>
            </w:r>
          </w:p>
        </w:tc>
        <w:tc>
          <w:tcPr>
            <w:tcW w:w="6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796533597"/>
        </w:trPr>
        <w:tc>
          <w:tcPr>
            <w:tcW w:w="2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84C22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E84C22"/>
                <w:sz w:val="22"/>
                <w:szCs w:val="22"/>
              </w:rPr>
              <w:t>Primary (Spontaneous)</w:t>
            </w:r>
          </w:p>
        </w:tc>
        <w:tc>
          <w:tcPr>
            <w:tcW w:w="6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無明確腹內感染源，常見於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  <w:lang w:eastAsia="zh-CN"/>
              </w:rPr>
              <w:t>肝硬化合併腹水、低蛋白血症（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  <w:lang w:eastAsia="zh-CN"/>
              </w:rPr>
              <w:t>&lt;1 g/dL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  <w:lang w:eastAsia="zh-CN"/>
              </w:rPr>
              <w:t>）</w:t>
            </w:r>
          </w:p>
        </w:tc>
      </w:tr>
      <w:tr w:rsidR="00000000">
        <w:trPr>
          <w:divId w:val="796533597"/>
        </w:trPr>
        <w:tc>
          <w:tcPr>
            <w:tcW w:w="2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84C22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E84C22"/>
                <w:sz w:val="22"/>
                <w:szCs w:val="22"/>
              </w:rPr>
              <w:t>Secondary</w:t>
            </w:r>
          </w:p>
        </w:tc>
        <w:tc>
          <w:tcPr>
            <w:tcW w:w="6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有明確感染源，如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  <w:lang w:eastAsia="zh-CN"/>
              </w:rPr>
              <w:t>胃腸穿孔、術後感染、腹腔內器官發炎穿破</w:t>
            </w:r>
          </w:p>
        </w:tc>
      </w:tr>
      <w:tr w:rsidR="00000000">
        <w:trPr>
          <w:divId w:val="796533597"/>
        </w:trPr>
        <w:tc>
          <w:tcPr>
            <w:tcW w:w="2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84C22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E84C22"/>
                <w:sz w:val="22"/>
                <w:szCs w:val="22"/>
              </w:rPr>
              <w:t>Tertiary</w:t>
            </w:r>
          </w:p>
        </w:tc>
        <w:tc>
          <w:tcPr>
            <w:tcW w:w="6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ICU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病人，治療後仍持續的腹膜炎，常見於免疫不全者</w:t>
            </w:r>
          </w:p>
        </w:tc>
      </w:tr>
    </w:tbl>
    <w:p w:rsidR="004234C8" w:rsidRDefault="004234C8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4234C8" w:rsidRDefault="004234C8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4234C8" w:rsidRDefault="004234C8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病因與機轉</w:t>
      </w:r>
    </w:p>
    <w:p w:rsidR="004234C8" w:rsidRDefault="004234C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二次性腹膜炎（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Secondary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05"/>
        <w:gridCol w:w="4941"/>
      </w:tblGrid>
      <w:tr w:rsidR="00000000">
        <w:trPr>
          <w:divId w:val="964971835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機轉</w:t>
            </w:r>
          </w:p>
        </w:tc>
        <w:tc>
          <w:tcPr>
            <w:tcW w:w="5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常見病因</w:t>
            </w:r>
          </w:p>
        </w:tc>
      </w:tr>
      <w:tr w:rsidR="00000000">
        <w:trPr>
          <w:divId w:val="964971835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消化道穿孔</w:t>
            </w:r>
          </w:p>
        </w:tc>
        <w:tc>
          <w:tcPr>
            <w:tcW w:w="5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Appendicitis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Peptic ulcer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Diverticulitis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Cancer</w:t>
            </w:r>
          </w:p>
        </w:tc>
      </w:tr>
      <w:tr w:rsidR="00000000">
        <w:trPr>
          <w:divId w:val="964971835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腸道梗阻壞死</w:t>
            </w:r>
          </w:p>
        </w:tc>
        <w:tc>
          <w:tcPr>
            <w:tcW w:w="5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Strangulated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hernia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Volvulus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Intestinal infarction</w:t>
            </w:r>
          </w:p>
        </w:tc>
      </w:tr>
      <w:tr w:rsidR="00000000">
        <w:trPr>
          <w:divId w:val="964971835"/>
        </w:trPr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泌尿或膽道穿破</w:t>
            </w:r>
          </w:p>
        </w:tc>
        <w:tc>
          <w:tcPr>
            <w:tcW w:w="5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Cholecystitis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Salpingitis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Bladder rupture</w:t>
            </w:r>
          </w:p>
        </w:tc>
      </w:tr>
      <w:tr w:rsidR="00000000">
        <w:trPr>
          <w:divId w:val="964971835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手術或醫源性</w:t>
            </w:r>
          </w:p>
        </w:tc>
        <w:tc>
          <w:tcPr>
            <w:tcW w:w="5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Anastomotic leakage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、內視鏡穿孔、異物遺留</w:t>
            </w:r>
          </w:p>
        </w:tc>
      </w:tr>
      <w:tr w:rsidR="00000000">
        <w:trPr>
          <w:divId w:val="964971835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外傷性</w:t>
            </w:r>
          </w:p>
        </w:tc>
        <w:tc>
          <w:tcPr>
            <w:tcW w:w="5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腹部鈍傷、穿刺、異物刺穿</w:t>
            </w:r>
          </w:p>
        </w:tc>
      </w:tr>
      <w:tr w:rsidR="00000000">
        <w:trPr>
          <w:divId w:val="964971835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其他</w:t>
            </w:r>
          </w:p>
        </w:tc>
        <w:tc>
          <w:tcPr>
            <w:tcW w:w="5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IBD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、腸套疊、放射線、腫瘤</w:t>
            </w:r>
          </w:p>
        </w:tc>
      </w:tr>
    </w:tbl>
    <w:p w:rsidR="004234C8" w:rsidRDefault="004234C8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4234C8" w:rsidRDefault="004234C8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無菌性腹膜炎（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Aseptic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6"/>
        <w:gridCol w:w="4836"/>
      </w:tblGrid>
      <w:tr w:rsidR="00000000">
        <w:trPr>
          <w:divId w:val="1966621946"/>
        </w:trPr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機轉</w:t>
            </w:r>
          </w:p>
        </w:tc>
        <w:tc>
          <w:tcPr>
            <w:tcW w:w="4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原因</w:t>
            </w:r>
          </w:p>
        </w:tc>
      </w:tr>
      <w:tr w:rsidR="00000000">
        <w:trPr>
          <w:divId w:val="1966621946"/>
        </w:trPr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化學性刺激</w:t>
            </w:r>
          </w:p>
        </w:tc>
        <w:tc>
          <w:tcPr>
            <w:tcW w:w="4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胃酸、膽汁、胰液、尿液、血液等生理液體外漏</w:t>
            </w:r>
          </w:p>
        </w:tc>
      </w:tr>
      <w:tr w:rsidR="00000000">
        <w:trPr>
          <w:divId w:val="1966621946"/>
        </w:trPr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體液異常</w:t>
            </w:r>
          </w:p>
        </w:tc>
        <w:tc>
          <w:tcPr>
            <w:tcW w:w="4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腹膜透析、內視鏡異物</w:t>
            </w:r>
          </w:p>
        </w:tc>
      </w:tr>
      <w:tr w:rsidR="00000000">
        <w:trPr>
          <w:divId w:val="1966621946"/>
        </w:trPr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自體免疫疾病</w:t>
            </w:r>
          </w:p>
        </w:tc>
        <w:tc>
          <w:tcPr>
            <w:tcW w:w="4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SLE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FMF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Porphyria</w:t>
            </w:r>
          </w:p>
        </w:tc>
      </w:tr>
    </w:tbl>
    <w:p w:rsidR="004234C8" w:rsidRDefault="004234C8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4234C8" w:rsidRDefault="004234C8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臨床表現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11"/>
        <w:gridCol w:w="5275"/>
      </w:tblGrid>
      <w:tr w:rsidR="00000000">
        <w:trPr>
          <w:divId w:val="1113135211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表現</w:t>
            </w:r>
          </w:p>
        </w:tc>
        <w:tc>
          <w:tcPr>
            <w:tcW w:w="5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特點</w:t>
            </w:r>
          </w:p>
        </w:tc>
      </w:tr>
      <w:tr w:rsidR="00000000">
        <w:trPr>
          <w:divId w:val="1113135211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典型症狀</w:t>
            </w:r>
          </w:p>
        </w:tc>
        <w:tc>
          <w:tcPr>
            <w:tcW w:w="5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急性劇烈腹痛、發燒、肌肉僵硬（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rigidity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）、反彈痛</w:t>
            </w:r>
          </w:p>
        </w:tc>
      </w:tr>
      <w:tr w:rsidR="00000000">
        <w:trPr>
          <w:divId w:val="1113135211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其他</w:t>
            </w:r>
          </w:p>
        </w:tc>
        <w:tc>
          <w:tcPr>
            <w:tcW w:w="5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腸蠕動聲減弱或消失（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hypoactive/absent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113135211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全身反應</w:t>
            </w:r>
          </w:p>
        </w:tc>
        <w:tc>
          <w:tcPr>
            <w:tcW w:w="5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Tachycardia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、低血壓、呼吸淺快、酸中毒（晚期）</w:t>
            </w:r>
          </w:p>
        </w:tc>
      </w:tr>
      <w:tr w:rsidR="00000000">
        <w:trPr>
          <w:divId w:val="1113135211"/>
        </w:trPr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老年或免疫抑制</w:t>
            </w:r>
          </w:p>
        </w:tc>
        <w:tc>
          <w:tcPr>
            <w:tcW w:w="5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症狀不典型，易延遲診斷與治療，死亡率↑</w:t>
            </w:r>
          </w:p>
        </w:tc>
      </w:tr>
    </w:tbl>
    <w:p w:rsidR="004234C8" w:rsidRDefault="004234C8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4234C8" w:rsidRDefault="004234C8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診斷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93"/>
        <w:gridCol w:w="5193"/>
      </w:tblGrid>
      <w:tr w:rsidR="00000000">
        <w:trPr>
          <w:divId w:val="1522891194"/>
        </w:trPr>
        <w:tc>
          <w:tcPr>
            <w:tcW w:w="2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檢查</w:t>
            </w:r>
          </w:p>
        </w:tc>
        <w:tc>
          <w:tcPr>
            <w:tcW w:w="6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特點</w:t>
            </w:r>
          </w:p>
        </w:tc>
      </w:tr>
      <w:tr w:rsidR="00000000">
        <w:trPr>
          <w:divId w:val="1522891194"/>
        </w:trPr>
        <w:tc>
          <w:tcPr>
            <w:tcW w:w="2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血液檢查</w:t>
            </w:r>
          </w:p>
        </w:tc>
        <w:tc>
          <w:tcPr>
            <w:tcW w:w="6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WBC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Metabolic acidosis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Lactate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↑（腸缺血指標）</w:t>
            </w:r>
          </w:p>
        </w:tc>
      </w:tr>
      <w:tr w:rsidR="00000000">
        <w:trPr>
          <w:divId w:val="1522891194"/>
        </w:trPr>
        <w:tc>
          <w:tcPr>
            <w:tcW w:w="2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影像學</w:t>
            </w:r>
          </w:p>
        </w:tc>
        <w:tc>
          <w:tcPr>
            <w:tcW w:w="6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 Upright abdominal X-ray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（自由氣體）</w:t>
            </w:r>
          </w:p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 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：穿孔、腹腔積液、發炎指標（氣體、增厚、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Stranding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522891194"/>
        </w:trPr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腹水分析（穩定者）</w:t>
            </w:r>
          </w:p>
        </w:tc>
        <w:tc>
          <w:tcPr>
            <w:tcW w:w="6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若有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ascites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，應作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diagnostic paracentesis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</w:t>
            </w:r>
          </w:p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WBC &gt;250/mm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³、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LDH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高、蛋白分析（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SAAG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判別原發性）</w:t>
            </w:r>
          </w:p>
        </w:tc>
      </w:tr>
    </w:tbl>
    <w:p w:rsidR="004234C8" w:rsidRDefault="004234C8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4234C8" w:rsidRDefault="004234C8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治療原則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00"/>
        <w:gridCol w:w="5986"/>
      </w:tblGrid>
      <w:tr w:rsidR="00000000">
        <w:trPr>
          <w:divId w:val="744689162"/>
        </w:trPr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原則</w:t>
            </w:r>
          </w:p>
        </w:tc>
        <w:tc>
          <w:tcPr>
            <w:tcW w:w="8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重點處理項目</w:t>
            </w:r>
          </w:p>
        </w:tc>
      </w:tr>
      <w:tr w:rsidR="00000000">
        <w:trPr>
          <w:divId w:val="744689162"/>
        </w:trPr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穩定生命徵象</w:t>
            </w:r>
          </w:p>
        </w:tc>
        <w:tc>
          <w:tcPr>
            <w:tcW w:w="8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IV fluid resuscitation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、矯正電解質與酸鹼失衡</w:t>
            </w:r>
          </w:p>
        </w:tc>
      </w:tr>
      <w:tr w:rsidR="00000000">
        <w:trPr>
          <w:divId w:val="744689162"/>
        </w:trPr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抗生素治療</w:t>
            </w:r>
          </w:p>
        </w:tc>
        <w:tc>
          <w:tcPr>
            <w:tcW w:w="82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Broad-spectrum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：覆蓋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G(+)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G(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anaerobes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third-gen cephalosporin + metronidazole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744689162"/>
        </w:trPr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手術介入</w:t>
            </w:r>
          </w:p>
        </w:tc>
        <w:tc>
          <w:tcPr>
            <w:tcW w:w="8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明確穿孔、膿瘍或腸道壞死時進行修補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切除</w:t>
            </w:r>
          </w:p>
        </w:tc>
      </w:tr>
      <w:tr w:rsidR="00000000">
        <w:trPr>
          <w:divId w:val="744689162"/>
        </w:trPr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高風險病人</w:t>
            </w:r>
          </w:p>
        </w:tc>
        <w:tc>
          <w:tcPr>
            <w:tcW w:w="8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老年或免疫缺陷者，早期手術與加強抗生素療效追蹤尤重要</w:t>
            </w:r>
          </w:p>
        </w:tc>
      </w:tr>
    </w:tbl>
    <w:p w:rsidR="004234C8" w:rsidRDefault="004234C8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4234C8" w:rsidRDefault="004234C8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預後與死亡率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87"/>
        <w:gridCol w:w="899"/>
      </w:tblGrid>
      <w:tr w:rsidR="00000000">
        <w:trPr>
          <w:divId w:val="271281121"/>
        </w:trPr>
        <w:tc>
          <w:tcPr>
            <w:tcW w:w="3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狀況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死亡率</w:t>
            </w:r>
          </w:p>
        </w:tc>
      </w:tr>
      <w:tr w:rsidR="00000000">
        <w:trPr>
          <w:divId w:val="271281121"/>
        </w:trPr>
        <w:tc>
          <w:tcPr>
            <w:tcW w:w="3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健康、局限性腹膜炎</w:t>
            </w:r>
          </w:p>
        </w:tc>
        <w:tc>
          <w:tcPr>
            <w:tcW w:w="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&lt;10%</w:t>
            </w:r>
          </w:p>
        </w:tc>
      </w:tr>
      <w:tr w:rsidR="00000000">
        <w:trPr>
          <w:divId w:val="271281121"/>
        </w:trPr>
        <w:tc>
          <w:tcPr>
            <w:tcW w:w="3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老年、免疫抑制、擴散性腹膜炎</w:t>
            </w:r>
          </w:p>
        </w:tc>
        <w:tc>
          <w:tcPr>
            <w:tcW w:w="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&gt;40%</w:t>
            </w:r>
          </w:p>
        </w:tc>
      </w:tr>
    </w:tbl>
    <w:p w:rsidR="004234C8" w:rsidRDefault="004234C8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4234C8" w:rsidRDefault="004234C8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國考與臨床補充重點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85"/>
        <w:gridCol w:w="5101"/>
      </w:tblGrid>
      <w:tr w:rsidR="00000000">
        <w:trPr>
          <w:divId w:val="346101219"/>
        </w:trPr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考點</w:t>
            </w:r>
          </w:p>
        </w:tc>
        <w:tc>
          <w:tcPr>
            <w:tcW w:w="7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補充說明</w:t>
            </w:r>
          </w:p>
        </w:tc>
      </w:tr>
      <w:tr w:rsidR="00000000">
        <w:trPr>
          <w:divId w:val="346101219"/>
        </w:trPr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Primary vs Secondary</w:t>
            </w:r>
          </w:p>
        </w:tc>
        <w:tc>
          <w:tcPr>
            <w:tcW w:w="7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Primary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多見於肝硬化腹水病人，常為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Gram-negative infection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  <w:lang w:eastAsia="zh-CN"/>
              </w:rPr>
              <w:t>E. coli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346101219"/>
        </w:trPr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關鍵手術時機</w:t>
            </w:r>
          </w:p>
        </w:tc>
        <w:tc>
          <w:tcPr>
            <w:tcW w:w="7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Secondary peritonitis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多需手術（穿孔）、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primary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則可保守抗生素</w:t>
            </w:r>
          </w:p>
        </w:tc>
      </w:tr>
      <w:tr w:rsidR="00000000">
        <w:trPr>
          <w:divId w:val="346101219"/>
        </w:trPr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Aseptic irritant</w:t>
            </w:r>
          </w:p>
        </w:tc>
        <w:tc>
          <w:tcPr>
            <w:tcW w:w="7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4C8" w:rsidRDefault="004234C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化學性腹膜炎可因胃酸、膽汁外漏所致，需早期清創與處理原發問題</w:t>
            </w:r>
          </w:p>
        </w:tc>
      </w:tr>
    </w:tbl>
    <w:p w:rsidR="004234C8" w:rsidRDefault="004234C8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4234C8" w:rsidRDefault="004234C8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Reference:</w:t>
      </w:r>
    </w:p>
    <w:p w:rsidR="004234C8" w:rsidRDefault="004234C8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Harrisons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234C8" w:rsidRDefault="004234C8" w:rsidP="004234C8">
      <w:r>
        <w:separator/>
      </w:r>
    </w:p>
  </w:endnote>
  <w:endnote w:type="continuationSeparator" w:id="0">
    <w:p w:rsidR="004234C8" w:rsidRDefault="004234C8" w:rsidP="00423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234C8" w:rsidRDefault="004234C8" w:rsidP="004234C8">
      <w:r>
        <w:separator/>
      </w:r>
    </w:p>
  </w:footnote>
  <w:footnote w:type="continuationSeparator" w:id="0">
    <w:p w:rsidR="004234C8" w:rsidRDefault="004234C8" w:rsidP="00423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1D3C4D"/>
    <w:multiLevelType w:val="multilevel"/>
    <w:tmpl w:val="8000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772219">
    <w:abstractNumId w:val="0"/>
  </w:num>
  <w:num w:numId="2" w16cid:durableId="203129792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C8"/>
    <w:rsid w:val="004234C8"/>
    <w:rsid w:val="009A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86C71AE-1B6B-4C92-AAC1-0ED6F54B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234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34C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234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34C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81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1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2025-07-25T04:08:00Z</dcterms:created>
  <dcterms:modified xsi:type="dcterms:W3CDTF">2025-07-25T04:08:00Z</dcterms:modified>
</cp:coreProperties>
</file>