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1795E" w:rsidRDefault="0021795E">
      <w:pPr>
        <w:pStyle w:val="Web"/>
        <w:spacing w:before="0" w:beforeAutospacing="0" w:after="0" w:afterAutospacing="0"/>
        <w:rPr>
          <w:rFonts w:ascii="Microsoft JhengHei Light" w:eastAsia="Microsoft JhengHei Light" w:hAnsi="Microsoft JhengHei Light" w:cs="Calibri"/>
          <w:sz w:val="40"/>
          <w:szCs w:val="40"/>
        </w:rPr>
      </w:pPr>
      <w:r>
        <w:rPr>
          <w:rFonts w:ascii="Microsoft JhengHei Light" w:eastAsia="Microsoft JhengHei Light" w:hAnsi="Microsoft JhengHei Light" w:cs="Calibri" w:hint="eastAsia"/>
          <w:sz w:val="40"/>
          <w:szCs w:val="40"/>
        </w:rPr>
        <w:t>乾癬</w:t>
      </w:r>
    </w:p>
    <w:p w:rsidR="0021795E" w:rsidRDefault="0021795E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16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21795E" w:rsidRDefault="0021795E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上午</w:t>
      </w:r>
      <w:r>
        <w:rPr>
          <w:rFonts w:ascii="Calibri" w:hAnsi="Calibri" w:cs="Calibri"/>
          <w:color w:val="767676"/>
          <w:sz w:val="20"/>
          <w:szCs w:val="20"/>
        </w:rPr>
        <w:t xml:space="preserve"> 11:21</w:t>
      </w:r>
    </w:p>
    <w:p w:rsidR="0021795E" w:rsidRDefault="0021795E">
      <w:pPr>
        <w:pStyle w:val="1"/>
        <w:spacing w:before="0" w:beforeAutospacing="0" w:after="0" w:afterAutospacing="0"/>
        <w:ind w:left="1800"/>
        <w:rPr>
          <w:rFonts w:ascii="微軟正黑體" w:eastAsia="微軟正黑體" w:hAnsi="微軟正黑體" w:cs="Calibri"/>
          <w:color w:val="000000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相關條目：</w:t>
      </w:r>
      <w:hyperlink r:id="rId7" w:anchor="總論|關節炎總論&amp;section-id={2467CC7A-8F2B-4F25-B7A3-313D199800C1}&amp;page-id={F6FBFCC2-66AB-4E98-8391-5F1D0D576BF7}&amp;object-id={4453FD4F-D476-0256-364A-8FFB7BCB988A}&amp;26&amp;base-path=https://d.docs.live.net/56ce32fba64785ca/臨床筆記" w:history="1">
        <w:r>
          <w:rPr>
            <w:rStyle w:val="a3"/>
            <w:rFonts w:ascii="微軟正黑體" w:eastAsia="微軟正黑體" w:hAnsi="微軟正黑體" w:cs="Calibri" w:hint="eastAsia"/>
            <w:color w:val="1E4E79"/>
            <w:sz w:val="32"/>
            <w:szCs w:val="32"/>
          </w:rPr>
          <w:t>關節炎</w:t>
        </w:r>
      </w:hyperlink>
    </w:p>
    <w:p w:rsidR="0021795E" w:rsidRDefault="0021795E">
      <w:pPr>
        <w:pStyle w:val="Web"/>
        <w:spacing w:before="0" w:beforeAutospacing="0" w:after="0" w:afterAutospacing="0"/>
        <w:ind w:left="180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21795E" w:rsidRDefault="0021795E">
      <w:pPr>
        <w:numPr>
          <w:ilvl w:val="1"/>
          <w:numId w:val="1"/>
        </w:numPr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機轉：慢性反覆發作之皮膚病</w:t>
      </w:r>
    </w:p>
    <w:p w:rsidR="0021795E" w:rsidRDefault="0021795E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角質細胞的細胞週期縮短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由原來的</w:t>
      </w:r>
      <w:r>
        <w:rPr>
          <w:rFonts w:ascii="微軟正黑體" w:eastAsia="微軟正黑體" w:hAnsi="微軟正黑體" w:cs="Calibri" w:hint="eastAsia"/>
          <w:sz w:val="22"/>
          <w:szCs w:val="22"/>
        </w:rPr>
        <w:t>311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小時縮短為</w:t>
      </w:r>
      <w:r>
        <w:rPr>
          <w:rFonts w:ascii="微軟正黑體" w:eastAsia="微軟正黑體" w:hAnsi="微軟正黑體" w:cs="Calibri" w:hint="eastAsia"/>
          <w:sz w:val="22"/>
          <w:szCs w:val="22"/>
        </w:rPr>
        <w:t>36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  <w:r>
        <w:rPr>
          <w:rFonts w:ascii="微軟正黑體" w:eastAsia="微軟正黑體" w:hAnsi="微軟正黑體" w:cs="Calibri" w:hint="eastAsia"/>
          <w:sz w:val="22"/>
          <w:szCs w:val="22"/>
        </w:rPr>
        <w:t>，造成棘皮層增生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(acanthosis)</w:t>
      </w:r>
      <w:r>
        <w:rPr>
          <w:rFonts w:ascii="微軟正黑體" w:eastAsia="微軟正黑體" w:hAnsi="微軟正黑體" w:cs="Calibri" w:hint="eastAsia"/>
          <w:sz w:val="22"/>
          <w:szCs w:val="22"/>
        </w:rPr>
        <w:t>，表皮增生為正常的</w:t>
      </w:r>
      <w:r>
        <w:rPr>
          <w:rFonts w:ascii="微軟正黑體" w:eastAsia="微軟正黑體" w:hAnsi="微軟正黑體" w:cs="Calibri" w:hint="eastAsia"/>
          <w:sz w:val="22"/>
          <w:szCs w:val="22"/>
        </w:rPr>
        <w:t>28</w:t>
      </w:r>
      <w:r>
        <w:rPr>
          <w:rFonts w:ascii="微軟正黑體" w:eastAsia="微軟正黑體" w:hAnsi="微軟正黑體" w:cs="Calibri" w:hint="eastAsia"/>
          <w:sz w:val="22"/>
          <w:szCs w:val="22"/>
        </w:rPr>
        <w:t>倍</w:t>
      </w:r>
    </w:p>
    <w:p w:rsidR="0021795E" w:rsidRDefault="0021795E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同時由於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第一型輔助型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T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細胞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(Th1)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免疫反應</w:t>
      </w:r>
      <w:r>
        <w:rPr>
          <w:rFonts w:ascii="微軟正黑體" w:eastAsia="微軟正黑體" w:hAnsi="微軟正黑體" w:cs="Calibri" w:hint="eastAsia"/>
          <w:sz w:val="22"/>
          <w:szCs w:val="22"/>
        </w:rPr>
        <w:t>，在真皮產生了發炎現象，許多發炎細胞圍繞在表皮和真皮血管周圍，在顯微鏡下可見其形成的微小膿疱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稱</w:t>
      </w:r>
      <w:r>
        <w:rPr>
          <w:rFonts w:ascii="微軟正黑體" w:eastAsia="微軟正黑體" w:hAnsi="微軟正黑體" w:cs="Calibri" w:hint="eastAsia"/>
          <w:sz w:val="22"/>
          <w:szCs w:val="22"/>
        </w:rPr>
        <w:t>Munro's microabscess)</w:t>
      </w:r>
    </w:p>
    <w:p w:rsidR="0021795E" w:rsidRDefault="0021795E">
      <w:pPr>
        <w:numPr>
          <w:ilvl w:val="1"/>
          <w:numId w:val="1"/>
        </w:numPr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流行病學</w:t>
      </w:r>
    </w:p>
    <w:p w:rsidR="0021795E" w:rsidRDefault="0021795E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發病期分別為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23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歲和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55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歲</w:t>
      </w:r>
      <w:r>
        <w:rPr>
          <w:rFonts w:ascii="微軟正黑體" w:eastAsia="微軟正黑體" w:hAnsi="微軟正黑體" w:cs="Calibri" w:hint="eastAsia"/>
          <w:sz w:val="22"/>
          <w:szCs w:val="22"/>
        </w:rPr>
        <w:t>兩個高峰期，</w:t>
      </w:r>
      <w:r>
        <w:rPr>
          <w:rFonts w:ascii="微軟正黑體" w:eastAsia="微軟正黑體" w:hAnsi="微軟正黑體" w:cs="Calibri" w:hint="eastAsia"/>
          <w:b/>
          <w:bCs/>
          <w:color w:val="0070C0"/>
          <w:sz w:val="22"/>
          <w:szCs w:val="22"/>
        </w:rPr>
        <w:t>越早發作症狀越嚴重且持續越久</w:t>
      </w:r>
      <w:r>
        <w:rPr>
          <w:rFonts w:ascii="微軟正黑體" w:eastAsia="微軟正黑體" w:hAnsi="微軟正黑體" w:cs="Calibri" w:hint="eastAsia"/>
          <w:sz w:val="22"/>
          <w:szCs w:val="22"/>
        </w:rPr>
        <w:t>。台灣男性平均出現於</w:t>
      </w:r>
      <w:r>
        <w:rPr>
          <w:rFonts w:ascii="微軟正黑體" w:eastAsia="微軟正黑體" w:hAnsi="微軟正黑體" w:cs="Calibri" w:hint="eastAsia"/>
          <w:sz w:val="22"/>
          <w:szCs w:val="22"/>
        </w:rPr>
        <w:t>35.5</w:t>
      </w:r>
      <w:r>
        <w:rPr>
          <w:rFonts w:ascii="微軟正黑體" w:eastAsia="微軟正黑體" w:hAnsi="微軟正黑體" w:cs="Calibri" w:hint="eastAsia"/>
          <w:sz w:val="22"/>
          <w:szCs w:val="22"/>
        </w:rPr>
        <w:t>歲，而女性為</w:t>
      </w:r>
      <w:r>
        <w:rPr>
          <w:rFonts w:ascii="微軟正黑體" w:eastAsia="微軟正黑體" w:hAnsi="微軟正黑體" w:cs="Calibri" w:hint="eastAsia"/>
          <w:sz w:val="22"/>
          <w:szCs w:val="22"/>
        </w:rPr>
        <w:t>30.4</w:t>
      </w:r>
      <w:r>
        <w:rPr>
          <w:rFonts w:ascii="微軟正黑體" w:eastAsia="微軟正黑體" w:hAnsi="微軟正黑體" w:cs="Calibri" w:hint="eastAsia"/>
          <w:sz w:val="22"/>
          <w:szCs w:val="22"/>
        </w:rPr>
        <w:t>歲</w:t>
      </w:r>
    </w:p>
    <w:p w:rsidR="0021795E" w:rsidRDefault="0021795E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男女發生率相等，少見於西非、日本人、北美南美印地安人和愛斯基摩人</w:t>
      </w:r>
    </w:p>
    <w:p w:rsidR="0021795E" w:rsidRDefault="0021795E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越往赤道發生率越低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陽光越充足越不易乾癬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21795E" w:rsidRDefault="0021795E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遺傳性：</w:t>
      </w:r>
    </w:p>
    <w:p w:rsidR="0021795E" w:rsidRDefault="0021795E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雙親其中一個有乾癬：小孩乾癬機率</w:t>
      </w:r>
      <w:r>
        <w:rPr>
          <w:rFonts w:ascii="微軟正黑體" w:eastAsia="微軟正黑體" w:hAnsi="微軟正黑體" w:cs="Calibri" w:hint="eastAsia"/>
          <w:sz w:val="22"/>
          <w:szCs w:val="22"/>
        </w:rPr>
        <w:t>10%</w:t>
      </w:r>
    </w:p>
    <w:p w:rsidR="0021795E" w:rsidRDefault="0021795E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雙親都有乾癬：小孩乾癬機率</w:t>
      </w:r>
      <w:r>
        <w:rPr>
          <w:rFonts w:ascii="微軟正黑體" w:eastAsia="微軟正黑體" w:hAnsi="微軟正黑體" w:cs="Calibri" w:hint="eastAsia"/>
          <w:sz w:val="22"/>
          <w:szCs w:val="22"/>
        </w:rPr>
        <w:t>40%</w:t>
      </w:r>
    </w:p>
    <w:p w:rsidR="0021795E" w:rsidRDefault="0021795E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基因型以</w:t>
      </w:r>
      <w:r>
        <w:rPr>
          <w:rFonts w:ascii="微軟正黑體" w:eastAsia="微軟正黑體" w:hAnsi="微軟正黑體" w:cs="Calibri" w:hint="eastAsia"/>
          <w:b/>
          <w:bCs/>
          <w:color w:val="0070C0"/>
          <w:sz w:val="22"/>
          <w:szCs w:val="22"/>
          <w:highlight w:val="yellow"/>
        </w:rPr>
        <w:t>HLA-Cw6</w:t>
      </w:r>
      <w:r>
        <w:rPr>
          <w:rFonts w:ascii="微軟正黑體" w:eastAsia="微軟正黑體" w:hAnsi="微軟正黑體" w:cs="Calibri" w:hint="eastAsia"/>
          <w:b/>
          <w:bCs/>
          <w:color w:val="0070C0"/>
          <w:sz w:val="22"/>
          <w:szCs w:val="22"/>
          <w:highlight w:val="yellow"/>
        </w:rPr>
        <w:t>確定最相關</w:t>
      </w:r>
      <w:r>
        <w:rPr>
          <w:rFonts w:ascii="微軟正黑體" w:eastAsia="微軟正黑體" w:hAnsi="微軟正黑體" w:cs="Calibri" w:hint="eastAsia"/>
          <w:sz w:val="22"/>
          <w:szCs w:val="22"/>
        </w:rPr>
        <w:t>，其他如</w:t>
      </w:r>
      <w:r>
        <w:rPr>
          <w:rFonts w:ascii="微軟正黑體" w:eastAsia="微軟正黑體" w:hAnsi="微軟正黑體" w:cs="Calibri" w:hint="eastAsia"/>
          <w:sz w:val="22"/>
          <w:szCs w:val="22"/>
        </w:rPr>
        <w:t>HLA-B13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B17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B27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Bw57</w:t>
      </w:r>
      <w:r>
        <w:rPr>
          <w:rFonts w:ascii="微軟正黑體" w:eastAsia="微軟正黑體" w:hAnsi="微軟正黑體" w:cs="Calibri" w:hint="eastAsia"/>
          <w:sz w:val="22"/>
          <w:szCs w:val="22"/>
        </w:rPr>
        <w:t>也有相關</w:t>
      </w:r>
    </w:p>
    <w:p w:rsidR="0021795E" w:rsidRDefault="0021795E">
      <w:pPr>
        <w:numPr>
          <w:ilvl w:val="1"/>
          <w:numId w:val="1"/>
        </w:numPr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分類</w:t>
      </w:r>
    </w:p>
    <w:p w:rsidR="0021795E" w:rsidRDefault="0021795E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Type 1</w:t>
      </w:r>
      <w:r>
        <w:rPr>
          <w:rFonts w:ascii="微軟正黑體" w:eastAsia="微軟正黑體" w:hAnsi="微軟正黑體" w:cs="Calibri" w:hint="eastAsia"/>
          <w:sz w:val="22"/>
          <w:szCs w:val="22"/>
        </w:rPr>
        <w:t>：好發在</w:t>
      </w:r>
      <w:r>
        <w:rPr>
          <w:rFonts w:ascii="微軟正黑體" w:eastAsia="微軟正黑體" w:hAnsi="微軟正黑體" w:cs="Calibri" w:hint="eastAsia"/>
          <w:sz w:val="22"/>
          <w:szCs w:val="22"/>
        </w:rPr>
        <w:t>40</w:t>
      </w:r>
      <w:r>
        <w:rPr>
          <w:rFonts w:ascii="微軟正黑體" w:eastAsia="微軟正黑體" w:hAnsi="微軟正黑體" w:cs="Calibri" w:hint="eastAsia"/>
          <w:sz w:val="22"/>
          <w:szCs w:val="22"/>
        </w:rPr>
        <w:t>歲前，與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HLA </w:t>
      </w:r>
      <w:r>
        <w:rPr>
          <w:rFonts w:ascii="微軟正黑體" w:eastAsia="微軟正黑體" w:hAnsi="微軟正黑體" w:cs="Calibri" w:hint="eastAsia"/>
          <w:sz w:val="22"/>
          <w:szCs w:val="22"/>
        </w:rPr>
        <w:t>相關，有家族遺傳</w:t>
      </w:r>
    </w:p>
    <w:p w:rsidR="0021795E" w:rsidRDefault="0021795E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Type 2</w:t>
      </w:r>
      <w:r>
        <w:rPr>
          <w:rFonts w:ascii="微軟正黑體" w:eastAsia="微軟正黑體" w:hAnsi="微軟正黑體" w:cs="Calibri" w:hint="eastAsia"/>
          <w:sz w:val="22"/>
          <w:szCs w:val="22"/>
        </w:rPr>
        <w:t>：好發</w:t>
      </w:r>
      <w:r>
        <w:rPr>
          <w:rFonts w:ascii="微軟正黑體" w:eastAsia="微軟正黑體" w:hAnsi="微軟正黑體" w:cs="Calibri" w:hint="eastAsia"/>
          <w:sz w:val="22"/>
          <w:szCs w:val="22"/>
        </w:rPr>
        <w:t>40</w:t>
      </w:r>
      <w:r>
        <w:rPr>
          <w:rFonts w:ascii="微軟正黑體" w:eastAsia="微軟正黑體" w:hAnsi="微軟正黑體" w:cs="Calibri" w:hint="eastAsia"/>
          <w:sz w:val="22"/>
          <w:szCs w:val="22"/>
        </w:rPr>
        <w:t>歲以後，且與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HLA </w:t>
      </w:r>
      <w:r>
        <w:rPr>
          <w:rFonts w:ascii="微軟正黑體" w:eastAsia="微軟正黑體" w:hAnsi="微軟正黑體" w:cs="Calibri" w:hint="eastAsia"/>
          <w:sz w:val="22"/>
          <w:szCs w:val="22"/>
        </w:rPr>
        <w:t>無關</w:t>
      </w:r>
    </w:p>
    <w:p w:rsidR="0021795E" w:rsidRDefault="0021795E">
      <w:pPr>
        <w:numPr>
          <w:ilvl w:val="1"/>
          <w:numId w:val="1"/>
        </w:numPr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病因：多基因遺傳</w:t>
      </w:r>
      <w:r>
        <w:rPr>
          <w:rFonts w:ascii="Calibri" w:hAnsi="Calibri" w:cs="Calibri"/>
          <w:color w:val="1E4E79"/>
          <w:sz w:val="32"/>
          <w:szCs w:val="32"/>
        </w:rPr>
        <w:t>+Trigger factor</w:t>
      </w:r>
    </w:p>
    <w:p w:rsidR="0021795E" w:rsidRDefault="0021795E">
      <w:pPr>
        <w:numPr>
          <w:ilvl w:val="1"/>
          <w:numId w:val="1"/>
        </w:numPr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危險因子：</w:t>
      </w:r>
    </w:p>
    <w:p w:rsidR="0021795E" w:rsidRDefault="0021795E">
      <w:pPr>
        <w:numPr>
          <w:ilvl w:val="2"/>
          <w:numId w:val="1"/>
        </w:numPr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家族史</w:t>
      </w:r>
    </w:p>
    <w:p w:rsidR="0021795E" w:rsidRDefault="0021795E">
      <w:pPr>
        <w:numPr>
          <w:ilvl w:val="2"/>
          <w:numId w:val="1"/>
        </w:numPr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抽菸、肥胖</w:t>
      </w:r>
    </w:p>
    <w:p w:rsidR="0021795E" w:rsidRDefault="0021795E">
      <w:pPr>
        <w:numPr>
          <w:ilvl w:val="1"/>
          <w:numId w:val="1"/>
        </w:numPr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觸發因子：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[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口訣：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TIDES]</w:t>
      </w:r>
    </w:p>
    <w:p w:rsidR="0021795E" w:rsidRDefault="0021795E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外傷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(Trauma)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Koebner phenomenon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：外傷、抓搔皮膚會促進乾癬的增生</w:t>
      </w:r>
      <w:r>
        <w:rPr>
          <w:rFonts w:ascii="微軟正黑體" w:eastAsia="微軟正黑體" w:hAnsi="微軟正黑體" w:cs="Calibri" w:hint="eastAsia"/>
          <w:sz w:val="22"/>
          <w:szCs w:val="22"/>
        </w:rPr>
        <w:t>，</w:t>
      </w:r>
      <w:r>
        <w:rPr>
          <w:rFonts w:ascii="微軟正黑體" w:eastAsia="微軟正黑體" w:hAnsi="微軟正黑體" w:cs="Calibri" w:hint="eastAsia"/>
          <w:sz w:val="22"/>
          <w:szCs w:val="22"/>
        </w:rPr>
        <w:t>30-50%</w:t>
      </w:r>
      <w:r>
        <w:rPr>
          <w:rFonts w:ascii="微軟正黑體" w:eastAsia="微軟正黑體" w:hAnsi="微軟正黑體" w:cs="Calibri" w:hint="eastAsia"/>
          <w:sz w:val="22"/>
          <w:szCs w:val="22"/>
        </w:rPr>
        <w:t>的病患有此現象</w:t>
      </w:r>
    </w:p>
    <w:p w:rsidR="0021795E" w:rsidRDefault="0021795E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lastRenderedPageBreak/>
        <w:t>感染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(Infection)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21795E" w:rsidRDefault="0021795E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急性滴狀乾癬</w:t>
      </w:r>
      <w:r>
        <w:rPr>
          <w:rFonts w:ascii="微軟正黑體" w:eastAsia="微軟正黑體" w:hAnsi="微軟正黑體" w:cs="Calibri" w:hint="eastAsia"/>
          <w:sz w:val="22"/>
          <w:szCs w:val="22"/>
        </w:rPr>
        <w:t>(guttate psoriasis)</w:t>
      </w:r>
      <w:r>
        <w:rPr>
          <w:rFonts w:ascii="微軟正黑體" w:eastAsia="微軟正黑體" w:hAnsi="微軟正黑體" w:cs="Calibri" w:hint="eastAsia"/>
          <w:sz w:val="22"/>
          <w:szCs w:val="22"/>
        </w:rPr>
        <w:t>：通常出現在</w:t>
      </w:r>
      <w:r>
        <w:rPr>
          <w:rFonts w:ascii="微軟正黑體" w:eastAsia="微軟正黑體" w:hAnsi="微軟正黑體" w:cs="Calibri" w:hint="eastAsia"/>
          <w:b/>
          <w:bCs/>
          <w:color w:val="0070C0"/>
          <w:sz w:val="22"/>
          <w:szCs w:val="22"/>
        </w:rPr>
        <w:t>急性鏈球菌</w:t>
      </w:r>
      <w:r>
        <w:rPr>
          <w:rFonts w:ascii="微軟正黑體" w:eastAsia="微軟正黑體" w:hAnsi="微軟正黑體" w:cs="Calibri" w:hint="eastAsia"/>
          <w:b/>
          <w:bCs/>
          <w:color w:val="0070C0"/>
          <w:sz w:val="22"/>
          <w:szCs w:val="22"/>
        </w:rPr>
        <w:t>(GAS)</w:t>
      </w:r>
      <w:r>
        <w:rPr>
          <w:rFonts w:ascii="微軟正黑體" w:eastAsia="微軟正黑體" w:hAnsi="微軟正黑體" w:cs="Calibri" w:hint="eastAsia"/>
          <w:b/>
          <w:bCs/>
          <w:color w:val="0070C0"/>
          <w:sz w:val="22"/>
          <w:szCs w:val="22"/>
        </w:rPr>
        <w:t>感染</w:t>
      </w:r>
      <w:r>
        <w:rPr>
          <w:rFonts w:ascii="微軟正黑體" w:eastAsia="微軟正黑體" w:hAnsi="微軟正黑體" w:cs="Calibri" w:hint="eastAsia"/>
          <w:sz w:val="22"/>
          <w:szCs w:val="22"/>
        </w:rPr>
        <w:t>後</w:t>
      </w:r>
      <w:r>
        <w:rPr>
          <w:rFonts w:ascii="微軟正黑體" w:eastAsia="微軟正黑體" w:hAnsi="微軟正黑體" w:cs="Calibri" w:hint="eastAsia"/>
          <w:sz w:val="22"/>
          <w:szCs w:val="22"/>
        </w:rPr>
        <w:t>1-2</w:t>
      </w:r>
      <w:r>
        <w:rPr>
          <w:rFonts w:ascii="微軟正黑體" w:eastAsia="微軟正黑體" w:hAnsi="微軟正黑體" w:cs="Calibri" w:hint="eastAsia"/>
          <w:sz w:val="22"/>
          <w:szCs w:val="22"/>
        </w:rPr>
        <w:t>週</w:t>
      </w:r>
    </w:p>
    <w:p w:rsidR="0021795E" w:rsidRDefault="0021795E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HIV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S.aureus</w:t>
      </w:r>
      <w:r>
        <w:rPr>
          <w:rFonts w:ascii="微軟正黑體" w:eastAsia="微軟正黑體" w:hAnsi="微軟正黑體" w:cs="Calibri" w:hint="eastAsia"/>
          <w:sz w:val="22"/>
          <w:szCs w:val="22"/>
        </w:rPr>
        <w:t>也與乾癬加劇相關</w:t>
      </w:r>
    </w:p>
    <w:p w:rsidR="0021795E" w:rsidRDefault="0021795E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藥物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(Drug)</w:t>
      </w:r>
      <w:r>
        <w:rPr>
          <w:rFonts w:ascii="微軟正黑體" w:eastAsia="微軟正黑體" w:hAnsi="微軟正黑體" w:cs="Calibri" w:hint="eastAsia"/>
          <w:sz w:val="22"/>
          <w:szCs w:val="22"/>
        </w:rPr>
        <w:t>：會造成發病或惡化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[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口訣：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ABCD+GI]</w:t>
      </w:r>
    </w:p>
    <w:p w:rsidR="0021795E" w:rsidRDefault="0021795E">
      <w:pPr>
        <w:pStyle w:val="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486150" cy="1371600"/>
            <wp:effectExtent l="0" t="0" r="0" b="0"/>
            <wp:docPr id="1" name="圖片 1" descr="機器產生的替代文字:&#10;加劇乾廯的藥物&#10;Anti-malarial、ACE-I&#10;Beta-blockers&#10;Corticosteroid:外用是氵台療,但是囗服藥可能有reboundrelapse&#10;Depression藥物::主要是Lithium&#10;Gemfibrozil(降血脂藥物,可以降LDL丶TG,也可以升高HDL)&#10;Imiquimod、INF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機器產生的替代文字:&#10;加劇乾廯的藥物&#10;Anti-malarial、ACE-I&#10;Beta-blockers&#10;Corticosteroid:外用是氵台療,但是囗服藥可能有reboundrelapse&#10;Depression藥物::主要是Lithium&#10;Gemfibrozil(降血脂藥物,可以降LDL丶TG,也可以升高HDL)&#10;Imiquimod、INF-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95E" w:rsidRDefault="0021795E">
      <w:pPr>
        <w:numPr>
          <w:ilvl w:val="1"/>
          <w:numId w:val="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環境、壓力</w:t>
      </w:r>
      <w:r>
        <w:rPr>
          <w:rFonts w:ascii="微軟正黑體" w:eastAsia="微軟正黑體" w:hAnsi="微軟正黑體" w:cs="Calibri" w:hint="eastAsia"/>
          <w:sz w:val="22"/>
          <w:szCs w:val="22"/>
        </w:rPr>
        <w:t>(Environment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Emotion)</w:t>
      </w:r>
      <w:r>
        <w:rPr>
          <w:rFonts w:ascii="微軟正黑體" w:eastAsia="微軟正黑體" w:hAnsi="微軟正黑體" w:cs="Calibri" w:hint="eastAsia"/>
          <w:sz w:val="22"/>
          <w:szCs w:val="22"/>
        </w:rPr>
        <w:t>：約</w:t>
      </w:r>
      <w:r>
        <w:rPr>
          <w:rFonts w:ascii="微軟正黑體" w:eastAsia="微軟正黑體" w:hAnsi="微軟正黑體" w:cs="Calibri" w:hint="eastAsia"/>
          <w:sz w:val="22"/>
          <w:szCs w:val="22"/>
        </w:rPr>
        <w:t>40%</w:t>
      </w:r>
      <w:r>
        <w:rPr>
          <w:rFonts w:ascii="微軟正黑體" w:eastAsia="微軟正黑體" w:hAnsi="微軟正黑體" w:cs="Calibri" w:hint="eastAsia"/>
          <w:sz w:val="22"/>
          <w:szCs w:val="22"/>
        </w:rPr>
        <w:t>的病患會因壓力使乾癬惡化，小孩更高達</w:t>
      </w:r>
      <w:r>
        <w:rPr>
          <w:rFonts w:ascii="微軟正黑體" w:eastAsia="微軟正黑體" w:hAnsi="微軟正黑體" w:cs="Calibri" w:hint="eastAsia"/>
          <w:sz w:val="22"/>
          <w:szCs w:val="22"/>
        </w:rPr>
        <w:t>90%</w:t>
      </w:r>
    </w:p>
    <w:p w:rsidR="0021795E" w:rsidRDefault="0021795E">
      <w:pPr>
        <w:numPr>
          <w:ilvl w:val="1"/>
          <w:numId w:val="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光照</w:t>
      </w:r>
      <w:r>
        <w:rPr>
          <w:rFonts w:ascii="微軟正黑體" w:eastAsia="微軟正黑體" w:hAnsi="微軟正黑體" w:cs="Calibri" w:hint="eastAsia"/>
          <w:sz w:val="22"/>
          <w:szCs w:val="22"/>
        </w:rPr>
        <w:t>(Sunlight)</w:t>
      </w:r>
      <w:r>
        <w:rPr>
          <w:rFonts w:ascii="微軟正黑體" w:eastAsia="微軟正黑體" w:hAnsi="微軟正黑體" w:cs="Calibri" w:hint="eastAsia"/>
          <w:sz w:val="22"/>
          <w:szCs w:val="22"/>
        </w:rPr>
        <w:t>：照光治療</w:t>
      </w:r>
      <w:r>
        <w:rPr>
          <w:rFonts w:ascii="微軟正黑體" w:eastAsia="微軟正黑體" w:hAnsi="微軟正黑體" w:cs="Calibri" w:hint="eastAsia"/>
          <w:sz w:val="22"/>
          <w:szCs w:val="22"/>
        </w:rPr>
        <w:t>(UVB)</w:t>
      </w:r>
      <w:r>
        <w:rPr>
          <w:rFonts w:ascii="微軟正黑體" w:eastAsia="微軟正黑體" w:hAnsi="微軟正黑體" w:cs="Calibri" w:hint="eastAsia"/>
          <w:sz w:val="22"/>
          <w:szCs w:val="22"/>
        </w:rPr>
        <w:t>為治療之一、但過度日曬反而會加劇乾癬</w:t>
      </w:r>
    </w:p>
    <w:p w:rsidR="0021795E" w:rsidRDefault="0021795E">
      <w:pPr>
        <w:numPr>
          <w:ilvl w:val="1"/>
          <w:numId w:val="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酒精：可能會誘發乾癬，但證據未明</w:t>
      </w:r>
    </w:p>
    <w:p w:rsidR="0021795E" w:rsidRDefault="0021795E">
      <w:pPr>
        <w:numPr>
          <w:ilvl w:val="1"/>
          <w:numId w:val="1"/>
        </w:numPr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好發位置：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32"/>
          <w:szCs w:val="32"/>
        </w:rPr>
        <w:t>頭皮、軀幹</w:t>
      </w:r>
      <w:r>
        <w:rPr>
          <w:rFonts w:ascii="Calibri" w:hAnsi="Calibri" w:cs="Calibri"/>
          <w:b/>
          <w:bCs/>
          <w:color w:val="C00000"/>
          <w:sz w:val="32"/>
          <w:szCs w:val="32"/>
        </w:rPr>
        <w:t>(</w:t>
      </w:r>
      <w:r>
        <w:rPr>
          <w:rFonts w:ascii="微軟正黑體" w:eastAsia="微軟正黑體" w:hAnsi="微軟正黑體" w:cs="Calibri" w:hint="eastAsia"/>
          <w:b/>
          <w:bCs/>
          <w:color w:val="C00000"/>
          <w:sz w:val="32"/>
          <w:szCs w:val="32"/>
        </w:rPr>
        <w:t>含腹股溝</w:t>
      </w:r>
      <w:r>
        <w:rPr>
          <w:rFonts w:ascii="Calibri" w:hAnsi="Calibri" w:cs="Calibri"/>
          <w:b/>
          <w:bCs/>
          <w:color w:val="C00000"/>
          <w:sz w:val="32"/>
          <w:szCs w:val="32"/>
        </w:rPr>
        <w:t>)</w:t>
      </w:r>
      <w:r>
        <w:rPr>
          <w:rFonts w:ascii="微軟正黑體" w:eastAsia="微軟正黑體" w:hAnsi="微軟正黑體" w:cs="Calibri" w:hint="eastAsia"/>
          <w:b/>
          <w:bCs/>
          <w:color w:val="C00000"/>
          <w:sz w:val="32"/>
          <w:szCs w:val="32"/>
        </w:rPr>
        <w:t>、手肘、膝蓋、手掌</w:t>
      </w:r>
      <w:r>
        <w:rPr>
          <w:rFonts w:ascii="Calibri" w:hAnsi="Calibri" w:cs="Calibri"/>
          <w:b/>
          <w:bCs/>
          <w:color w:val="C00000"/>
          <w:sz w:val="32"/>
          <w:szCs w:val="32"/>
        </w:rPr>
        <w:t>/</w:t>
      </w:r>
      <w:r>
        <w:rPr>
          <w:rFonts w:ascii="微軟正黑體" w:eastAsia="微軟正黑體" w:hAnsi="微軟正黑體" w:cs="Calibri" w:hint="eastAsia"/>
          <w:b/>
          <w:bCs/>
          <w:color w:val="C00000"/>
          <w:sz w:val="32"/>
          <w:szCs w:val="32"/>
        </w:rPr>
        <w:t>腳掌，多為對稱性</w:t>
      </w:r>
    </w:p>
    <w:p w:rsidR="0021795E" w:rsidRDefault="0021795E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Extensor side</w:t>
      </w:r>
      <w:r>
        <w:rPr>
          <w:rFonts w:ascii="微軟正黑體" w:eastAsia="微軟正黑體" w:hAnsi="微軟正黑體" w:cs="Calibri" w:hint="eastAsia"/>
          <w:sz w:val="22"/>
          <w:szCs w:val="22"/>
        </w:rPr>
        <w:t>居多</w:t>
      </w:r>
    </w:p>
    <w:p w:rsidR="0021795E" w:rsidRDefault="0021795E">
      <w:pPr>
        <w:numPr>
          <w:ilvl w:val="1"/>
          <w:numId w:val="1"/>
        </w:numPr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臨床表現：</w:t>
      </w:r>
    </w:p>
    <w:p w:rsidR="0021795E" w:rsidRDefault="0021795E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乾癬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界線清楚明顯，表面有鬆散銀屑</w:t>
      </w:r>
      <w:r>
        <w:rPr>
          <w:rFonts w:ascii="微軟正黑體" w:eastAsia="微軟正黑體" w:hAnsi="微軟正黑體" w:cs="Calibri" w:hint="eastAsia"/>
          <w:sz w:val="22"/>
          <w:szCs w:val="22"/>
        </w:rPr>
        <w:t>，皮屑下為滑亮均質之紅斑</w:t>
      </w:r>
    </w:p>
    <w:p w:rsidR="0021795E" w:rsidRDefault="0021795E">
      <w:pPr>
        <w:numPr>
          <w:ilvl w:val="2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Auspitz sign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：用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機械性方式移去皮屑後會在紅色表皮上出現小血滴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真皮乳頭處擴張之小血管破裂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)</w:t>
      </w:r>
    </w:p>
    <w:p w:rsidR="0021795E" w:rsidRDefault="0021795E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Koebner phenomenon=isomorphic phenomenon (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同形現象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)</w:t>
      </w:r>
      <w:r>
        <w:rPr>
          <w:rFonts w:ascii="微軟正黑體" w:eastAsia="微軟正黑體" w:hAnsi="微軟正黑體" w:cs="Calibri" w:hint="eastAsia"/>
          <w:sz w:val="22"/>
          <w:szCs w:val="22"/>
        </w:rPr>
        <w:t>：外傷、抓搔皮膚會誘發乾癬形成與增生</w:t>
      </w:r>
    </w:p>
    <w:p w:rsidR="0021795E" w:rsidRDefault="0021795E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Psoriatic arthritis(10~25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％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)</w:t>
      </w:r>
      <w:r>
        <w:rPr>
          <w:rFonts w:ascii="微軟正黑體" w:eastAsia="微軟正黑體" w:hAnsi="微軟正黑體" w:cs="Calibri" w:hint="eastAsia"/>
          <w:sz w:val="22"/>
          <w:szCs w:val="22"/>
        </w:rPr>
        <w:t>：有相當比例的乾癬會造成關節炎，與皮膚病灶嚴重度無關，可出現在皮膚上未出現乾癬的病患上。另外</w:t>
      </w:r>
      <w:r>
        <w:rPr>
          <w:rFonts w:ascii="微軟正黑體" w:eastAsia="微軟正黑體" w:hAnsi="微軟正黑體" w:cs="Calibri" w:hint="eastAsia"/>
          <w:sz w:val="22"/>
          <w:szCs w:val="22"/>
        </w:rPr>
        <w:t>50%</w:t>
      </w:r>
      <w:r>
        <w:rPr>
          <w:rFonts w:ascii="微軟正黑體" w:eastAsia="微軟正黑體" w:hAnsi="微軟正黑體" w:cs="Calibri" w:hint="eastAsia"/>
          <w:sz w:val="22"/>
          <w:szCs w:val="22"/>
        </w:rPr>
        <w:t>的病人手指甲及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35% </w:t>
      </w:r>
      <w:r>
        <w:rPr>
          <w:rFonts w:ascii="微軟正黑體" w:eastAsia="微軟正黑體" w:hAnsi="微軟正黑體" w:cs="Calibri" w:hint="eastAsia"/>
          <w:sz w:val="22"/>
          <w:szCs w:val="22"/>
        </w:rPr>
        <w:t>病人的腳趾甲會被侵犯，產生指甲凹陷、黃斑、嚴重變形，常被誤認為黴菌感染</w:t>
      </w:r>
    </w:p>
    <w:p w:rsidR="0021795E" w:rsidRDefault="0021795E">
      <w:pPr>
        <w:numPr>
          <w:ilvl w:val="3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Pencil-in-cup deformity</w:t>
      </w:r>
    </w:p>
    <w:p w:rsidR="0021795E" w:rsidRDefault="0021795E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指甲表現：</w:t>
      </w:r>
    </w:p>
    <w:p w:rsidR="0021795E" w:rsidRDefault="0021795E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Psoriasis pitting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最常見的指甲病變，為甲板的凹陷</w:t>
      </w:r>
      <w:r>
        <w:rPr>
          <w:rFonts w:ascii="微軟正黑體" w:eastAsia="微軟正黑體" w:hAnsi="微軟正黑體" w:cs="Calibri" w:hint="eastAsia"/>
          <w:sz w:val="22"/>
          <w:szCs w:val="22"/>
        </w:rPr>
        <w:t>，代表該段甲板生長過程中受到影響，反應了乾癬疾病的活躍程度，也與乾癬關節病變的嚴重程度有相關性</w:t>
      </w:r>
    </w:p>
    <w:p w:rsidR="0021795E" w:rsidRDefault="0021795E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Onycholysis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甲板與甲床分離</w:t>
      </w:r>
      <w:r>
        <w:rPr>
          <w:rFonts w:ascii="微軟正黑體" w:eastAsia="微軟正黑體" w:hAnsi="微軟正黑體" w:cs="Calibri" w:hint="eastAsia"/>
          <w:sz w:val="22"/>
          <w:szCs w:val="22"/>
        </w:rPr>
        <w:t>，會由遠端發展至近端，可能會形成一個空間而發生眞菌感染。也可見於指甲受傷患者、免疫不全患者及甲狀腺疾者</w:t>
      </w:r>
    </w:p>
    <w:p w:rsidR="0021795E" w:rsidRDefault="0021795E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Subungual hyperkeratosis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甲床的角質細胞過度分化</w:t>
      </w:r>
      <w:r>
        <w:rPr>
          <w:rFonts w:ascii="微軟正黑體" w:eastAsia="微軟正黑體" w:hAnsi="微軟正黑體" w:cs="Calibri" w:hint="eastAsia"/>
          <w:sz w:val="22"/>
          <w:szCs w:val="22"/>
        </w:rPr>
        <w:t>而形成角質堆積於甲板下方，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主要發生在腳趾甲</w:t>
      </w:r>
    </w:p>
    <w:p w:rsidR="0021795E" w:rsidRDefault="0021795E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Oil drop (salmon patch)</w:t>
      </w:r>
      <w:r>
        <w:rPr>
          <w:rFonts w:ascii="微軟正黑體" w:eastAsia="微軟正黑體" w:hAnsi="微軟正黑體" w:cs="Calibri" w:hint="eastAsia"/>
          <w:sz w:val="22"/>
          <w:szCs w:val="22"/>
        </w:rPr>
        <w:t>：指甲觀察到一塊半透明黃紅色的病灶，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</w:rPr>
        <w:t>意即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甲床發生乾蘚的皮膚病變</w:t>
      </w:r>
      <w:r>
        <w:rPr>
          <w:rFonts w:ascii="微軟正黑體" w:eastAsia="微軟正黑體" w:hAnsi="微軟正黑體" w:cs="Calibri" w:hint="eastAsia"/>
          <w:sz w:val="22"/>
          <w:szCs w:val="22"/>
        </w:rPr>
        <w:t>。是乾癬的</w:t>
      </w:r>
      <w:r>
        <w:rPr>
          <w:rFonts w:ascii="微軟正黑體" w:eastAsia="微軟正黑體" w:hAnsi="微軟正黑體" w:cs="Calibri" w:hint="eastAsia"/>
          <w:sz w:val="22"/>
          <w:szCs w:val="22"/>
        </w:rPr>
        <w:t>pathognomonic sign</w:t>
      </w:r>
      <w:r>
        <w:rPr>
          <w:rFonts w:ascii="微軟正黑體" w:eastAsia="微軟正黑體" w:hAnsi="微軟正黑體" w:cs="Calibri" w:hint="eastAsia"/>
          <w:sz w:val="22"/>
          <w:szCs w:val="22"/>
        </w:rPr>
        <w:t>，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有高度專一性</w:t>
      </w:r>
    </w:p>
    <w:p w:rsidR="0021795E" w:rsidRDefault="0021795E">
      <w:pPr>
        <w:numPr>
          <w:ilvl w:val="1"/>
          <w:numId w:val="1"/>
        </w:numPr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共病：增加以下疾病機率</w:t>
      </w:r>
    </w:p>
    <w:p w:rsidR="0021795E" w:rsidRDefault="0021795E">
      <w:pPr>
        <w:numPr>
          <w:ilvl w:val="2"/>
          <w:numId w:val="1"/>
        </w:numPr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心肌梗塞</w:t>
      </w:r>
    </w:p>
    <w:p w:rsidR="0021795E" w:rsidRDefault="0021795E">
      <w:pPr>
        <w:numPr>
          <w:ilvl w:val="2"/>
          <w:numId w:val="1"/>
        </w:numPr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中風</w:t>
      </w:r>
    </w:p>
    <w:p w:rsidR="0021795E" w:rsidRDefault="0021795E">
      <w:pPr>
        <w:numPr>
          <w:ilvl w:val="2"/>
          <w:numId w:val="1"/>
        </w:numPr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高血壓、糖尿病、血脂異常</w:t>
      </w:r>
    </w:p>
    <w:p w:rsidR="0021795E" w:rsidRDefault="0021795E">
      <w:pPr>
        <w:numPr>
          <w:ilvl w:val="2"/>
          <w:numId w:val="1"/>
        </w:numPr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肥胖、代謝症候群</w:t>
      </w:r>
    </w:p>
    <w:p w:rsidR="0021795E" w:rsidRDefault="0021795E">
      <w:pPr>
        <w:numPr>
          <w:ilvl w:val="1"/>
          <w:numId w:val="1"/>
        </w:numPr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診斷：</w:t>
      </w:r>
    </w:p>
    <w:p w:rsidR="0021795E" w:rsidRDefault="0021795E">
      <w:pPr>
        <w:pStyle w:val="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657600" cy="47339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95E" w:rsidRDefault="0021795E">
      <w:pPr>
        <w:numPr>
          <w:ilvl w:val="1"/>
          <w:numId w:val="1"/>
        </w:numPr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臨床亞型：</w:t>
      </w:r>
    </w:p>
    <w:p w:rsidR="0021795E" w:rsidRDefault="0021795E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尋常性乾癬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(Psoriasis vulgaris)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21795E" w:rsidRDefault="0021795E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最常見好發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四肢伸側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手肘、膝蓋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)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和頭皮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特別是耳後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)</w:t>
      </w:r>
    </w:p>
    <w:p w:rsidR="0021795E" w:rsidRDefault="0021795E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界線清楚的紅斑</w:t>
      </w:r>
      <w:r>
        <w:rPr>
          <w:rFonts w:ascii="微軟正黑體" w:eastAsia="微軟正黑體" w:hAnsi="微軟正黑體" w:cs="Calibri" w:hint="eastAsia"/>
          <w:sz w:val="22"/>
          <w:szCs w:val="22"/>
        </w:rPr>
        <w:t>+</w:t>
      </w:r>
      <w:r>
        <w:rPr>
          <w:rFonts w:ascii="微軟正黑體" w:eastAsia="微軟正黑體" w:hAnsi="微軟正黑體" w:cs="Calibri" w:hint="eastAsia"/>
          <w:sz w:val="22"/>
          <w:szCs w:val="22"/>
        </w:rPr>
        <w:t>病灶處的脫屑</w:t>
      </w:r>
    </w:p>
    <w:p w:rsidR="0021795E" w:rsidRDefault="0021795E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地圖狀</w:t>
      </w:r>
      <w:r>
        <w:rPr>
          <w:rFonts w:ascii="微軟正黑體" w:eastAsia="微軟正黑體" w:hAnsi="微軟正黑體" w:cs="Calibri" w:hint="eastAsia"/>
          <w:sz w:val="22"/>
          <w:szCs w:val="22"/>
        </w:rPr>
        <w:t>(geographic)</w:t>
      </w:r>
      <w:r>
        <w:rPr>
          <w:rFonts w:ascii="微軟正黑體" w:eastAsia="微軟正黑體" w:hAnsi="微軟正黑體" w:cs="Calibri" w:hint="eastAsia"/>
          <w:sz w:val="22"/>
          <w:szCs w:val="22"/>
        </w:rPr>
        <w:t>乾癬：融合成大塊如地圖板塊狀</w:t>
      </w:r>
    </w:p>
    <w:p w:rsidR="0021795E" w:rsidRDefault="0021795E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反轉</w:t>
      </w:r>
      <w:r>
        <w:rPr>
          <w:rFonts w:ascii="微軟正黑體" w:eastAsia="微軟正黑體" w:hAnsi="微軟正黑體" w:cs="Calibri" w:hint="eastAsia"/>
          <w:sz w:val="22"/>
          <w:szCs w:val="22"/>
        </w:rPr>
        <w:t>(inverse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flexural)</w:t>
      </w:r>
      <w:r>
        <w:rPr>
          <w:rFonts w:ascii="微軟正黑體" w:eastAsia="微軟正黑體" w:hAnsi="微軟正黑體" w:cs="Calibri" w:hint="eastAsia"/>
          <w:sz w:val="22"/>
          <w:szCs w:val="22"/>
        </w:rPr>
        <w:t>乾癬：皮膚皺摺處，表面不脫屑而成光滑的紅斑</w:t>
      </w:r>
    </w:p>
    <w:p w:rsidR="0021795E" w:rsidRDefault="0021795E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點滴狀乾癬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(Guttate psoriasis)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21795E" w:rsidRDefault="0021795E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許多橙紅色</w:t>
      </w:r>
      <w:r>
        <w:rPr>
          <w:rFonts w:ascii="微軟正黑體" w:eastAsia="微軟正黑體" w:hAnsi="微軟正黑體" w:cs="Calibri" w:hint="eastAsia"/>
          <w:sz w:val="22"/>
          <w:szCs w:val="22"/>
        </w:rPr>
        <w:t>(salmon pink)</w:t>
      </w:r>
      <w:r>
        <w:rPr>
          <w:rFonts w:ascii="微軟正黑體" w:eastAsia="微軟正黑體" w:hAnsi="微軟正黑體" w:cs="Calibri" w:hint="eastAsia"/>
          <w:sz w:val="22"/>
          <w:szCs w:val="22"/>
        </w:rPr>
        <w:t>的點滴狀病灶出現在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軀幹上部和四肢近端</w:t>
      </w:r>
      <w:r>
        <w:rPr>
          <w:rFonts w:ascii="Calibri" w:hAnsi="Calibri" w:cs="Calibri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直徑</w:t>
      </w:r>
      <w:r>
        <w:rPr>
          <w:rFonts w:ascii="微軟正黑體" w:eastAsia="微軟正黑體" w:hAnsi="微軟正黑體" w:cs="Calibri" w:hint="eastAsia"/>
          <w:sz w:val="22"/>
          <w:szCs w:val="22"/>
        </w:rPr>
        <w:t>&lt;1cm)</w:t>
      </w:r>
    </w:p>
    <w:p w:rsidR="0021795E" w:rsidRDefault="0021795E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多見於年輕人和感染鏈球菌後發生</w:t>
      </w:r>
    </w:p>
    <w:p w:rsidR="0021795E" w:rsidRDefault="0021795E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乾癬性紅皮症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(Psoriatic erythroderma)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21795E" w:rsidRDefault="0021795E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突然全身皮膚發紅、大量脫屑</w:t>
      </w:r>
    </w:p>
    <w:p w:rsidR="0021795E" w:rsidRDefault="0021795E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或由慢性尋常性乾癬慢慢進展成全身性脫屑性紅斑</w:t>
      </w:r>
    </w:p>
    <w:p w:rsidR="0021795E" w:rsidRDefault="0021795E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全身膿疱型乾癬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(Generalized pustular psoriasis, von Zumbusch)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21795E" w:rsidRDefault="0021795E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急性乾癬</w:t>
      </w:r>
    </w:p>
    <w:p w:rsidR="0021795E" w:rsidRDefault="0021795E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突發性全身黃色無菌性的膿疱，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</w:rPr>
        <w:t>多合併持續性發燒</w:t>
      </w:r>
    </w:p>
    <w:p w:rsidR="0021795E" w:rsidRDefault="0021795E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較嚴重時膿疱會融合而成更大圓形膿疱</w:t>
      </w:r>
      <w:r>
        <w:rPr>
          <w:rFonts w:ascii="微軟正黑體" w:eastAsia="微軟正黑體" w:hAnsi="微軟正黑體" w:cs="Calibri" w:hint="eastAsia"/>
          <w:sz w:val="22"/>
          <w:szCs w:val="22"/>
        </w:rPr>
        <w:t>(circinate lesion, or lakes of pus )</w:t>
      </w:r>
    </w:p>
    <w:p w:rsidR="0021795E" w:rsidRDefault="0021795E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膿疱型乾癬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(Pustular psoriasis)</w:t>
      </w:r>
      <w:r>
        <w:rPr>
          <w:rFonts w:ascii="微軟正黑體" w:eastAsia="微軟正黑體" w:hAnsi="微軟正黑體" w:cs="Calibri" w:hint="eastAsia"/>
          <w:sz w:val="22"/>
          <w:szCs w:val="22"/>
        </w:rPr>
        <w:t>：和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HLA-B27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高度相關</w:t>
      </w:r>
    </w:p>
    <w:p w:rsidR="0021795E" w:rsidRDefault="0021795E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掌瓶膿疱症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(Palmoplantar pustulosis)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：在掌心及腳底產生反覆的膿疱</w:t>
      </w:r>
    </w:p>
    <w:p w:rsidR="0021795E" w:rsidRDefault="0021795E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大多數和抽菸有關</w:t>
      </w:r>
    </w:p>
    <w:p w:rsidR="0021795E" w:rsidRDefault="0021795E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連續性肢端皮膚炎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(Acrodermatitis continua)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：在指甲周圍化膿，甚至使指甲破壞消失</w:t>
      </w:r>
    </w:p>
    <w:p w:rsidR="0021795E" w:rsidRDefault="0021795E">
      <w:pPr>
        <w:pStyle w:val="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133975" cy="331470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95E" w:rsidRDefault="0021795E">
      <w:pPr>
        <w:numPr>
          <w:ilvl w:val="1"/>
          <w:numId w:val="1"/>
        </w:numPr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處置：</w:t>
      </w:r>
    </w:p>
    <w:p w:rsidR="0021795E" w:rsidRDefault="0021795E">
      <w:pPr>
        <w:numPr>
          <w:ilvl w:val="2"/>
          <w:numId w:val="1"/>
        </w:numPr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平日作息：</w:t>
      </w:r>
    </w:p>
    <w:p w:rsidR="0021795E" w:rsidRDefault="0021795E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避免感染，避免外傷，勿用力搔抓皮膚或皮屑</w:t>
      </w:r>
    </w:p>
    <w:p w:rsidR="0021795E" w:rsidRDefault="0021795E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停止引起乾癬藥物的使用</w:t>
      </w:r>
    </w:p>
    <w:p w:rsidR="0021795E" w:rsidRDefault="0021795E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避免長期暴露在低溫、低濕度的環境</w:t>
      </w:r>
    </w:p>
    <w:p w:rsidR="0021795E" w:rsidRDefault="0021795E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睡眠充足、保持情緒平穩</w:t>
      </w:r>
    </w:p>
    <w:p w:rsidR="0021795E" w:rsidRDefault="0021795E">
      <w:pPr>
        <w:numPr>
          <w:ilvl w:val="2"/>
          <w:numId w:val="1"/>
        </w:numPr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外用：</w:t>
      </w:r>
    </w:p>
    <w:p w:rsidR="0021795E" w:rsidRDefault="0021795E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類固醇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 xml:space="preserve">TOPI 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類固醇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可抗發炎和抗增生，但無法使皮膚完全正常化</w:t>
      </w:r>
    </w:p>
    <w:p w:rsidR="0021795E" w:rsidRDefault="0021795E">
      <w:pPr>
        <w:pStyle w:val="Web"/>
        <w:spacing w:before="0" w:beforeAutospacing="0" w:after="0" w:afterAutospacing="0"/>
        <w:ind w:left="2880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勿使用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 xml:space="preserve">PO 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類固醇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：因使用一段時間後</w:t>
      </w:r>
      <w:r>
        <w:rPr>
          <w:rFonts w:ascii="微軟正黑體" w:eastAsia="微軟正黑體" w:hAnsi="微軟正黑體" w:cs="Calibri" w:hint="eastAsia"/>
          <w:b/>
          <w:bCs/>
          <w:color w:val="0070C0"/>
          <w:sz w:val="22"/>
          <w:szCs w:val="22"/>
        </w:rPr>
        <w:t>停藥會</w:t>
      </w:r>
      <w:r>
        <w:rPr>
          <w:rFonts w:ascii="微軟正黑體" w:eastAsia="微軟正黑體" w:hAnsi="微軟正黑體" w:cs="Calibri" w:hint="eastAsia"/>
          <w:b/>
          <w:bCs/>
          <w:color w:val="0070C0"/>
          <w:sz w:val="22"/>
          <w:szCs w:val="22"/>
        </w:rPr>
        <w:t>rebound phenomenon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，造成</w:t>
      </w:r>
      <w:hyperlink r:id="rId11" w:anchor="🩺|乾癬(Psoriasis)&amp;section-id={8EAEF31F-3C85-4A44-8C94-1B976A1DCB9C}&amp;page-id={9BBF2830-B8BE-439A-A824-34453AE874DF}&amp;object-id={0F3F1EA0-5C51-09FE-3B73-6B900578EE7F}&amp;AA&amp;base-path=https://d.docs.live.net/56ce32fba64785ca/臨床筆記/Derma.one" w:history="1">
        <w:r>
          <w:rPr>
            <w:rStyle w:val="a3"/>
            <w:rFonts w:ascii="微軟正黑體" w:eastAsia="微軟正黑體" w:hAnsi="微軟正黑體" w:cs="Calibri" w:hint="eastAsia"/>
            <w:b/>
            <w:bCs/>
            <w:sz w:val="22"/>
            <w:szCs w:val="22"/>
          </w:rPr>
          <w:t>全身性膿疱型乾癬</w:t>
        </w:r>
      </w:hyperlink>
    </w:p>
    <w:p w:rsidR="0021795E" w:rsidRDefault="0021795E">
      <w:pPr>
        <w:numPr>
          <w:ilvl w:val="1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Anthralin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：目前國內停產，效果好且治癒後維持較久，無任何長期副作用，但皮膚刺激性較強</w:t>
      </w:r>
    </w:p>
    <w:p w:rsidR="0021795E" w:rsidRDefault="0021795E">
      <w:pPr>
        <w:numPr>
          <w:ilvl w:val="1"/>
          <w:numId w:val="1"/>
        </w:numPr>
        <w:textAlignment w:val="center"/>
        <w:rPr>
          <w:rFonts w:ascii="Calibri" w:hAnsi="Calibri" w:cs="Calibri"/>
          <w:color w:val="70AD47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tazarotene</w:t>
      </w:r>
    </w:p>
    <w:p w:rsidR="0021795E" w:rsidRDefault="0021795E">
      <w:pPr>
        <w:numPr>
          <w:ilvl w:val="1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維生素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D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：抑制角質細胞增生並促進其分化，並有抗發炎作用</w:t>
      </w:r>
    </w:p>
    <w:p w:rsidR="0021795E" w:rsidRDefault="0021795E">
      <w:pPr>
        <w:numPr>
          <w:ilvl w:val="1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焦油：此法治療乾癬已有很長的歷史，使用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〜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5%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的焦油作為輔助性治療，具輕度刺激性，長期無嚴重副作用</w:t>
      </w:r>
    </w:p>
    <w:p w:rsidR="0021795E" w:rsidRDefault="0021795E">
      <w:pPr>
        <w:numPr>
          <w:ilvl w:val="1"/>
          <w:numId w:val="3"/>
        </w:numPr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紫外線療法：</w:t>
      </w:r>
    </w:p>
    <w:p w:rsidR="0021795E" w:rsidRDefault="0021795E">
      <w:pPr>
        <w:numPr>
          <w:ilvl w:val="2"/>
          <w:numId w:val="4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highlight w:val="yellow"/>
        </w:rPr>
        <w:t>光化學療法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highlight w:val="yellow"/>
        </w:rPr>
        <w:t xml:space="preserve">(PUVA)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: 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口服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Methoxypsoralen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(P)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+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UVA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照射</w:t>
      </w:r>
    </w:p>
    <w:p w:rsidR="0021795E" w:rsidRDefault="0021795E">
      <w:pPr>
        <w:numPr>
          <w:ilvl w:val="3"/>
          <w:numId w:val="5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口服藥物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1~2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小時後開始照射，依皮膚反應而逐漸加量</w:t>
      </w:r>
    </w:p>
    <w:p w:rsidR="0021795E" w:rsidRDefault="0021795E">
      <w:pPr>
        <w:numPr>
          <w:ilvl w:val="3"/>
          <w:numId w:val="5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一個禮拜兩到三次</w:t>
      </w:r>
    </w:p>
    <w:p w:rsidR="0021795E" w:rsidRDefault="0021795E">
      <w:pPr>
        <w:numPr>
          <w:ilvl w:val="3"/>
          <w:numId w:val="5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大部份病人在治療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19-25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次之後病灶會漸消褪</w:t>
      </w:r>
    </w:p>
    <w:p w:rsidR="0021795E" w:rsidRDefault="0021795E">
      <w:pPr>
        <w:numPr>
          <w:ilvl w:val="3"/>
          <w:numId w:val="5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副作用包括了噁心、頭暈和頭痛</w:t>
      </w:r>
    </w:p>
    <w:p w:rsidR="0021795E" w:rsidRDefault="0021795E">
      <w:pPr>
        <w:numPr>
          <w:ilvl w:val="2"/>
          <w:numId w:val="4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highlight w:val="yellow"/>
        </w:rPr>
        <w:t>浸泡式光化學療法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highlight w:val="yellow"/>
        </w:rPr>
        <w:t>(PUVA soaks)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：利用泡澡將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Methoxypsoralen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送到皮膚</w:t>
      </w:r>
    </w:p>
    <w:p w:rsidR="0021795E" w:rsidRDefault="0021795E">
      <w:pPr>
        <w:numPr>
          <w:ilvl w:val="3"/>
          <w:numId w:val="6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主要優點是沒有全身性的作用，如腸胃道不適</w:t>
      </w:r>
    </w:p>
    <w:p w:rsidR="0021795E" w:rsidRDefault="0021795E">
      <w:pPr>
        <w:numPr>
          <w:ilvl w:val="2"/>
          <w:numId w:val="4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highlight w:val="yellow"/>
        </w:rPr>
        <w:t>中波紫外線光療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highlight w:val="yellow"/>
        </w:rPr>
        <w:t>(UVB)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：使用窄頻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(narrow-band) 311nmUVB</w:t>
      </w:r>
    </w:p>
    <w:p w:rsidR="0021795E" w:rsidRDefault="0021795E">
      <w:pPr>
        <w:numPr>
          <w:ilvl w:val="3"/>
          <w:numId w:val="7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UVB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在皮膚可抑制免疫細胞功能，減少白血球附著到微血管，誘使皮膚製造抗發炎的物質</w:t>
      </w:r>
    </w:p>
    <w:p w:rsidR="0021795E" w:rsidRDefault="0021795E">
      <w:pPr>
        <w:numPr>
          <w:ilvl w:val="1"/>
          <w:numId w:val="3"/>
        </w:numPr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全身性治療：後線治療</w:t>
      </w:r>
    </w:p>
    <w:p w:rsidR="0021795E" w:rsidRDefault="0021795E">
      <w:pPr>
        <w:numPr>
          <w:ilvl w:val="2"/>
          <w:numId w:val="8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Methotrexate (MTX)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慢性塊狀乾癬或乾癬性關節炎的第一線用藥</w:t>
      </w:r>
    </w:p>
    <w:p w:rsidR="0021795E" w:rsidRDefault="0021795E">
      <w:pPr>
        <w:numPr>
          <w:ilvl w:val="3"/>
          <w:numId w:val="9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最常見的副作用：噁心、疲倦、食慾減退、骨髓抑制造成白血球下降</w:t>
      </w:r>
    </w:p>
    <w:p w:rsidR="0021795E" w:rsidRDefault="0021795E">
      <w:pPr>
        <w:numPr>
          <w:ilvl w:val="3"/>
          <w:numId w:val="9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肝毒性：有肝病史和酗酒不適合，可能引發肝纖維化或肝硬化的危險</w:t>
      </w:r>
    </w:p>
    <w:p w:rsidR="0021795E" w:rsidRDefault="0021795E">
      <w:pPr>
        <w:numPr>
          <w:ilvl w:val="2"/>
          <w:numId w:val="8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環袍黴素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(cyclosporine)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</w:p>
    <w:p w:rsidR="0021795E" w:rsidRDefault="0021795E">
      <w:pPr>
        <w:numPr>
          <w:ilvl w:val="3"/>
          <w:numId w:val="10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主要治其他治療無效或乾癬性紅皮症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可快速達到療效，不適合長期使用</w:t>
      </w:r>
    </w:p>
    <w:p w:rsidR="0021795E" w:rsidRDefault="0021795E">
      <w:pPr>
        <w:numPr>
          <w:ilvl w:val="3"/>
          <w:numId w:val="10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給予低劑量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(&lt; 5 mg/kg/day)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時，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約對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70%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的慢性板塊狀乾癬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有效</w:t>
      </w:r>
    </w:p>
    <w:p w:rsidR="0021795E" w:rsidRDefault="0021795E">
      <w:pPr>
        <w:numPr>
          <w:ilvl w:val="3"/>
          <w:numId w:val="10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主要副作用：高血壓、高血脂、多毛症、牙皺增生、不可逆腎功能損害</w:t>
      </w:r>
    </w:p>
    <w:p w:rsidR="0021795E" w:rsidRDefault="0021795E">
      <w:pPr>
        <w:numPr>
          <w:ilvl w:val="2"/>
          <w:numId w:val="8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口服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A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酸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：對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全身膿疱型及掌號膿疱症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效果好，但對於其他類型乾癬單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獨使用效果不佳，故須搭配光照療法</w:t>
      </w:r>
    </w:p>
    <w:p w:rsidR="0021795E" w:rsidRDefault="0021795E">
      <w:pPr>
        <w:numPr>
          <w:ilvl w:val="2"/>
          <w:numId w:val="8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生物製劑：</w:t>
      </w:r>
    </w:p>
    <w:p w:rsidR="0021795E" w:rsidRDefault="0021795E">
      <w:pPr>
        <w:numPr>
          <w:ilvl w:val="3"/>
          <w:numId w:val="1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Infliximab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Adalimumab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TNF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單株抗體</w:t>
      </w:r>
    </w:p>
    <w:p w:rsidR="0021795E" w:rsidRDefault="0021795E">
      <w:pPr>
        <w:numPr>
          <w:ilvl w:val="3"/>
          <w:numId w:val="1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Etanercept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TNF-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α受體融合蛋白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</w:p>
    <w:p w:rsidR="0021795E" w:rsidRDefault="0021795E">
      <w:pPr>
        <w:numPr>
          <w:ilvl w:val="3"/>
          <w:numId w:val="1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Ustekinumab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：針對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IL-12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和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IL-23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的單株抗體</w:t>
      </w:r>
    </w:p>
    <w:p w:rsidR="0021795E" w:rsidRDefault="0021795E">
      <w:pPr>
        <w:numPr>
          <w:ilvl w:val="3"/>
          <w:numId w:val="1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Alefacep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：作用於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CD2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1795E" w:rsidRDefault="0021795E" w:rsidP="0021795E">
      <w:r>
        <w:separator/>
      </w:r>
    </w:p>
  </w:endnote>
  <w:endnote w:type="continuationSeparator" w:id="0">
    <w:p w:rsidR="0021795E" w:rsidRDefault="0021795E" w:rsidP="00217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1795E" w:rsidRDefault="0021795E" w:rsidP="0021795E">
      <w:r>
        <w:separator/>
      </w:r>
    </w:p>
  </w:footnote>
  <w:footnote w:type="continuationSeparator" w:id="0">
    <w:p w:rsidR="0021795E" w:rsidRDefault="0021795E" w:rsidP="002179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B30684"/>
    <w:multiLevelType w:val="multilevel"/>
    <w:tmpl w:val="292CE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73120374">
    <w:abstractNumId w:val="0"/>
  </w:num>
  <w:num w:numId="2" w16cid:durableId="976495337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" w16cid:durableId="932200330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" w16cid:durableId="824976473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" w16cid:durableId="1725523989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6" w16cid:durableId="653024624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7" w16cid:durableId="455759460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8" w16cid:durableId="1647464813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" w16cid:durableId="830827420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10" w16cid:durableId="633098906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11" w16cid:durableId="1083145778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480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95E"/>
    <w:rsid w:val="0021795E"/>
    <w:rsid w:val="00297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FAFE4145-0B39-4805-83DC-636EE4B80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新細明體" w:eastAsia="新細明體" w:hAnsi="新細明體" w:cs="新細明體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Web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styleId="a3">
    <w:name w:val="Hyperlink"/>
    <w:basedOn w:val="a0"/>
    <w:uiPriority w:val="99"/>
    <w:semiHidden/>
    <w:unhideWhenUsed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5">
    <w:name w:val="header"/>
    <w:basedOn w:val="a"/>
    <w:link w:val="a6"/>
    <w:uiPriority w:val="99"/>
    <w:unhideWhenUsed/>
    <w:rsid w:val="0021795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21795E"/>
    <w:rPr>
      <w:rFonts w:ascii="新細明體" w:eastAsia="新細明體" w:hAnsi="新細明體" w:cs="新細明體"/>
    </w:rPr>
  </w:style>
  <w:style w:type="paragraph" w:styleId="a7">
    <w:name w:val="footer"/>
    <w:basedOn w:val="a"/>
    <w:link w:val="a8"/>
    <w:uiPriority w:val="99"/>
    <w:unhideWhenUsed/>
    <w:rsid w:val="0021795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21795E"/>
    <w:rPr>
      <w:rFonts w:ascii="新細明體" w:eastAsia="新細明體" w:hAnsi="新細明體" w:cs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onenote:Rheuma.one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onenote: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532</Words>
  <Characters>3038</Characters>
  <Application>Microsoft Office Word</Application>
  <DocSecurity>0</DocSecurity>
  <Lines>25</Lines>
  <Paragraphs>7</Paragraphs>
  <ScaleCrop>false</ScaleCrop>
  <Company/>
  <LinksUpToDate>false</LinksUpToDate>
  <CharactersWithSpaces>3563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霓臻 林</dc:creator>
  <cp:keywords/>
  <dc:description/>
  <cp:lastModifiedBy>霓臻 林</cp:lastModifiedBy>
  <cp:revision>2</cp:revision>
  <dcterms:created xsi:type="dcterms:W3CDTF">2025-07-25T04:15:00Z</dcterms:created>
  <dcterms:modified xsi:type="dcterms:W3CDTF">2025-07-25T04:15:00Z</dcterms:modified>
</cp:coreProperties>
</file>