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75CB" w:rsidRDefault="002575C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(V) </w:t>
      </w:r>
      <w:r>
        <w:rPr>
          <w:rFonts w:ascii="Calibri Light" w:hAnsi="Calibri Light" w:cs="Calibri Light"/>
          <w:sz w:val="40"/>
          <w:szCs w:val="40"/>
          <w:lang w:val="en-GB"/>
        </w:rPr>
        <w:t>冠狀動脈繞道術（</w:t>
      </w:r>
      <w:r>
        <w:rPr>
          <w:rFonts w:ascii="Calibri Light" w:hAnsi="Calibri Light" w:cs="Calibri Light"/>
          <w:sz w:val="40"/>
          <w:szCs w:val="40"/>
          <w:lang w:val="en-GB"/>
        </w:rPr>
        <w:t>Coronary artery bypass graft, CABG</w:t>
      </w:r>
      <w:r>
        <w:rPr>
          <w:rFonts w:ascii="Calibri Light" w:hAnsi="Calibri Light" w:cs="Calibri Light"/>
          <w:sz w:val="40"/>
          <w:szCs w:val="40"/>
          <w:lang w:val="en-GB"/>
        </w:rPr>
        <w:t>）</w:t>
      </w:r>
    </w:p>
    <w:p w:rsidR="002575CB" w:rsidRDefault="002575CB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04 April 2025</w:t>
      </w:r>
    </w:p>
    <w:p w:rsidR="002575CB" w:rsidRDefault="002575CB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15:45</w:t>
      </w:r>
    </w:p>
    <w:p w:rsidR="002575CB" w:rsidRDefault="002575C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575CB" w:rsidRDefault="002575CB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適應症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左主冠狀動脈（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Left main coronary artery, LM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）阻塞大於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50%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近端左前降支（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LAD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）狹窄超過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70%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，合併兩條或三條血管病變（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2 or 3-vessel disease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有症狀（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symptomatic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）的兩條或三條血管病變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在最大劑量藥物治療下仍無法控制的嚴重心絞痛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左心室功能不良（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Ejection 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>fraction &lt;0.5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），但存在可恢復功能的心肌（經血流重建後可改善）</w:t>
      </w:r>
    </w:p>
    <w:p w:rsidR="002575CB" w:rsidRDefault="002575CB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心肌梗塞後心絞痛</w:t>
      </w: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 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只要符合就做</w:t>
      </w:r>
      <w:r>
        <w:rPr>
          <w:rFonts w:ascii="Calibri" w:hAnsi="Calibri" w:cs="Calibri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</w:t>
      </w:r>
      <w:r>
        <w:rPr>
          <w:rFonts w:ascii="Calibri" w:hAnsi="Calibri" w:cs="Calibri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預後較好。</w:t>
      </w:r>
    </w:p>
    <w:p w:rsidR="002575CB" w:rsidRDefault="002575CB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除了</w:t>
      </w:r>
      <w:r>
        <w:rPr>
          <w:rFonts w:ascii="Calibri" w:hAnsi="Calibri" w:cs="Calibri"/>
          <w:b/>
          <w:bCs/>
          <w:color w:val="F79646"/>
          <w:sz w:val="22"/>
          <w:szCs w:val="22"/>
        </w:rPr>
        <w:t xml:space="preserve"> 1-2 vessel disease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和</w:t>
      </w:r>
      <w:r>
        <w:rPr>
          <w:rFonts w:ascii="Calibri" w:hAnsi="Calibri" w:cs="Calibri"/>
          <w:b/>
          <w:bCs/>
          <w:color w:val="F79646"/>
          <w:sz w:val="22"/>
          <w:szCs w:val="22"/>
        </w:rPr>
        <w:t xml:space="preserve"> distal LAD occulsion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</w:t>
      </w:r>
      <w:r>
        <w:rPr>
          <w:rFonts w:ascii="Calibri" w:hAnsi="Calibri" w:cs="Calibri"/>
          <w:b/>
          <w:bCs/>
          <w:color w:val="F79646"/>
          <w:sz w:val="22"/>
          <w:szCs w:val="22"/>
        </w:rPr>
        <w:t xml:space="preserve">PCI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預後比較好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緊急冠狀動脈繞道手術的適應症</w:t>
      </w:r>
    </w:p>
    <w:p w:rsidR="002575CB" w:rsidRDefault="002575CB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</w:t>
      </w:r>
      <w:r>
        <w:rPr>
          <w:rFonts w:ascii="Calibri" w:hAnsi="Calibri" w:cs="Calibri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sz w:val="22"/>
          <w:szCs w:val="22"/>
        </w:rPr>
        <w:t>段上升型心肌梗塞（</w:t>
      </w:r>
      <w:r>
        <w:rPr>
          <w:rFonts w:ascii="Calibri" w:hAnsi="Calibri" w:cs="Calibri"/>
          <w:sz w:val="22"/>
          <w:szCs w:val="22"/>
        </w:rPr>
        <w:t>NSTEMI</w:t>
      </w:r>
      <w:r>
        <w:rPr>
          <w:rFonts w:ascii="微軟正黑體" w:eastAsia="微軟正黑體" w:hAnsi="微軟正黑體" w:cs="Calibri" w:hint="eastAsia"/>
          <w:sz w:val="22"/>
          <w:szCs w:val="22"/>
        </w:rPr>
        <w:t>）合併持續缺血，且對藥物治療或經皮冠狀動脈介入治療（</w:t>
      </w:r>
      <w:r>
        <w:rPr>
          <w:rFonts w:ascii="Calibri" w:hAnsi="Calibri" w:cs="Calibri"/>
          <w:sz w:val="22"/>
          <w:szCs w:val="22"/>
        </w:rPr>
        <w:t>PCI</w:t>
      </w:r>
      <w:r>
        <w:rPr>
          <w:rFonts w:ascii="微軟正黑體" w:eastAsia="微軟正黑體" w:hAnsi="微軟正黑體" w:cs="Calibri" w:hint="eastAsia"/>
          <w:sz w:val="22"/>
          <w:szCs w:val="22"/>
        </w:rPr>
        <w:t>）無效</w:t>
      </w:r>
    </w:p>
    <w:p w:rsidR="002575CB" w:rsidRDefault="002575CB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段上升型心肌梗塞（</w:t>
      </w:r>
      <w:r>
        <w:rPr>
          <w:rFonts w:ascii="Calibri" w:hAnsi="Calibri" w:cs="Calibri"/>
          <w:sz w:val="22"/>
          <w:szCs w:val="22"/>
          <w:lang w:val="en-GB"/>
        </w:rPr>
        <w:t>STEMI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對所有非手術治療反應不佳</w:t>
      </w:r>
    </w:p>
    <w:p w:rsidR="002575CB" w:rsidRDefault="002575C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在</w:t>
      </w:r>
      <w:r>
        <w:rPr>
          <w:rFonts w:ascii="Calibri" w:hAnsi="Calibri" w:cs="Calibri"/>
          <w:sz w:val="22"/>
          <w:szCs w:val="22"/>
          <w:lang w:val="en-GB"/>
        </w:rPr>
        <w:t xml:space="preserve"> STEMI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發作後出現持續性缺血、創傷性併發症或血管閉塞風險增加，例如</w:t>
      </w:r>
      <w:r>
        <w:rPr>
          <w:rFonts w:ascii="Calibri" w:hAnsi="Calibri" w:cs="Calibri"/>
          <w:sz w:val="22"/>
          <w:szCs w:val="22"/>
          <w:lang w:val="en-GB"/>
        </w:rPr>
        <w:t xml:space="preserve">PCI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失敗或曾接受</w:t>
      </w:r>
      <w:r>
        <w:rPr>
          <w:rFonts w:ascii="Calibri" w:hAnsi="Calibri" w:cs="Calibri"/>
          <w:sz w:val="22"/>
          <w:szCs w:val="22"/>
          <w:lang w:val="en-GB"/>
        </w:rPr>
        <w:t xml:space="preserve"> CABG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的病人</w:t>
      </w:r>
    </w:p>
    <w:p w:rsidR="002575CB" w:rsidRDefault="002575CB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32"/>
          <w:szCs w:val="32"/>
        </w:rPr>
        <w:t>禁忌症</w:t>
      </w:r>
    </w:p>
    <w:p w:rsidR="002575CB" w:rsidRDefault="002575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沒有絕對禁忌</w:t>
      </w:r>
    </w:p>
    <w:p w:rsidR="002575CB" w:rsidRDefault="002575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</w:t>
      </w:r>
    </w:p>
    <w:p w:rsidR="002575CB" w:rsidRDefault="002575CB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無症狀，且心肌梗塞或死亡機率低</w:t>
      </w:r>
    </w:p>
    <w:p w:rsidR="002575CB" w:rsidRDefault="002575CB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合併慢性阻塞性肺病（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COPD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）、肺高壓、全身性疾病</w:t>
      </w:r>
    </w:p>
    <w:p w:rsidR="002575CB" w:rsidRDefault="002575CB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高齡</w:t>
      </w:r>
    </w:p>
    <w:p w:rsidR="002575CB" w:rsidRDefault="00257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lastRenderedPageBreak/>
        <w:t>雖然年齡並非進行</w:t>
      </w:r>
      <w:r>
        <w:rPr>
          <w:rFonts w:ascii="Calibri" w:hAnsi="Calibri" w:cs="Calibri"/>
          <w:sz w:val="22"/>
          <w:szCs w:val="22"/>
          <w:lang w:val="en-GB"/>
        </w:rPr>
        <w:t xml:space="preserve"> CABG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的禁忌症，但由於高齡患者較容易出現手術併發症</w:t>
      </w:r>
    </w:p>
    <w:p w:rsidR="002575CB" w:rsidRDefault="002575CB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較新的研究顯示，</w:t>
      </w:r>
      <w:r>
        <w:rPr>
          <w:rFonts w:ascii="Calibri" w:hAnsi="Calibri" w:cs="Calibri"/>
          <w:sz w:val="22"/>
          <w:szCs w:val="22"/>
          <w:lang w:val="en-GB"/>
        </w:rPr>
        <w:t xml:space="preserve">80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歲以上患者在接受</w:t>
      </w:r>
      <w:r>
        <w:rPr>
          <w:rFonts w:ascii="Calibri" w:hAnsi="Calibri" w:cs="Calibri"/>
          <w:sz w:val="22"/>
          <w:szCs w:val="22"/>
          <w:lang w:val="en-GB"/>
        </w:rPr>
        <w:t xml:space="preserve"> CABG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後，其健康相關生活品質（</w:t>
      </w:r>
      <w:r>
        <w:rPr>
          <w:rFonts w:ascii="Calibri" w:hAnsi="Calibri" w:cs="Calibri"/>
          <w:sz w:val="22"/>
          <w:szCs w:val="22"/>
          <w:lang w:val="en-GB"/>
        </w:rPr>
        <w:t>HRQoL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）會有所改善</w:t>
      </w:r>
    </w:p>
    <w:p w:rsidR="002575CB" w:rsidRDefault="002575CB">
      <w:pPr>
        <w:numPr>
          <w:ilvl w:val="1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Calibri" w:hAnsi="Calibri" w:cs="Calibri"/>
          <w:color w:val="244061"/>
          <w:sz w:val="32"/>
          <w:szCs w:val="32"/>
        </w:rPr>
        <w:t>CABG Mortality Risk Factor</w:t>
      </w:r>
    </w:p>
    <w:p w:rsidR="002575CB" w:rsidRDefault="002575CB">
      <w:pPr>
        <w:numPr>
          <w:ilvl w:val="2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女性、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CKD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2/3-vessel disease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LCX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狹窄</w:t>
      </w:r>
    </w:p>
    <w:p w:rsidR="002575CB" w:rsidRDefault="002575CB">
      <w:pPr>
        <w:numPr>
          <w:ilvl w:val="2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肥胖不是</w:t>
      </w:r>
    </w:p>
    <w:p w:rsidR="002575CB" w:rsidRDefault="002575CB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術前評估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>SYNTAX score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評估冠狀動脈狹窄程度、位置而得出分數，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分數越高表示越嚴重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79646"/>
          <w:sz w:val="22"/>
          <w:szCs w:val="22"/>
        </w:rPr>
        <w:t>&lt;22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分：建議用心導管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，包括氣球擴張和支架置放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&gt;33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分：建議接受冠狀動脈繞道手術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22-33</w:t>
      </w:r>
      <w:r>
        <w:rPr>
          <w:rFonts w:ascii="微軟正黑體" w:eastAsia="微軟正黑體" w:hAnsi="微軟正黑體" w:cs="Calibri" w:hint="eastAsia"/>
          <w:sz w:val="22"/>
          <w:szCs w:val="22"/>
        </w:rPr>
        <w:t>分：就會由心臟內科和外科醫師組成的心臟團隊</w:t>
      </w:r>
      <w:r>
        <w:rPr>
          <w:rFonts w:ascii="Calibri" w:hAnsi="Calibri" w:cs="Calibri"/>
          <w:sz w:val="22"/>
          <w:szCs w:val="22"/>
        </w:rPr>
        <w:t>(heart team)</w:t>
      </w:r>
      <w:r>
        <w:rPr>
          <w:rFonts w:ascii="微軟正黑體" w:eastAsia="微軟正黑體" w:hAnsi="微軟正黑體" w:cs="Calibri" w:hint="eastAsia"/>
          <w:sz w:val="22"/>
          <w:szCs w:val="22"/>
        </w:rPr>
        <w:t>向病人及家屬說明，再決定接受心導管介入治療或冠狀動脈繞道手術。</w:t>
      </w:r>
    </w:p>
    <w:p w:rsidR="002575CB" w:rsidRDefault="002575CB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術後藥物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Aspirin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β-blocker</w:t>
      </w:r>
      <w:r>
        <w:rPr>
          <w:rFonts w:ascii="微軟正黑體" w:eastAsia="微軟正黑體" w:hAnsi="微軟正黑體" w:cs="Calibri" w:hint="eastAsia"/>
          <w:sz w:val="22"/>
          <w:szCs w:val="22"/>
        </w:rPr>
        <w:t>：降低術後</w:t>
      </w:r>
      <w:r>
        <w:rPr>
          <w:rFonts w:ascii="Calibri" w:hAnsi="Calibri" w:cs="Calibri"/>
          <w:sz w:val="22"/>
          <w:szCs w:val="22"/>
        </w:rPr>
        <w:t>Afib</w:t>
      </w:r>
      <w:r>
        <w:rPr>
          <w:rFonts w:ascii="微軟正黑體" w:eastAsia="微軟正黑體" w:hAnsi="微軟正黑體" w:cs="Calibri" w:hint="eastAsia"/>
          <w:sz w:val="22"/>
          <w:szCs w:val="22"/>
        </w:rPr>
        <w:t>風險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抗心律不整藥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降血脂藥物</w:t>
      </w:r>
    </w:p>
    <w:p w:rsidR="002575CB" w:rsidRDefault="002575CB">
      <w:pPr>
        <w:numPr>
          <w:ilvl w:val="1"/>
          <w:numId w:val="1"/>
        </w:numPr>
        <w:spacing w:before="100" w:after="100"/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術式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取用血管</w:t>
      </w:r>
    </w:p>
    <w:p w:rsidR="002575CB" w:rsidRDefault="002575CB">
      <w:pPr>
        <w:numPr>
          <w:ilvl w:val="3"/>
          <w:numId w:val="4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動脈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靜脈</w:t>
      </w:r>
    </w:p>
    <w:p w:rsidR="002575CB" w:rsidRDefault="002575CB">
      <w:pPr>
        <w:numPr>
          <w:ilvl w:val="3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366092"/>
          <w:sz w:val="22"/>
          <w:szCs w:val="22"/>
          <w:lang w:val="en-GB"/>
        </w:rPr>
        <w:t>暢通率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內乳動脈（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internal mammary artery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sz w:val="22"/>
          <w:szCs w:val="22"/>
          <w:lang w:val="en-GB"/>
        </w:rPr>
        <w:t xml:space="preserve">&gt;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橈動脈</w:t>
      </w:r>
      <w:r>
        <w:rPr>
          <w:rFonts w:ascii="Calibri" w:hAnsi="Calibri" w:cs="Calibri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大隱靜脈</w:t>
      </w:r>
      <w:r>
        <w:rPr>
          <w:rFonts w:ascii="Calibri" w:hAnsi="Calibri" w:cs="Calibri"/>
          <w:sz w:val="22"/>
          <w:szCs w:val="22"/>
          <w:lang w:val="en-GB"/>
        </w:rPr>
        <w:t xml:space="preserve"> &gt;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胃網膜動脈</w:t>
      </w:r>
    </w:p>
    <w:p w:rsidR="002575CB" w:rsidRDefault="002575CB">
      <w:pPr>
        <w:numPr>
          <w:ilvl w:val="3"/>
          <w:numId w:val="6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2"/>
          <w:szCs w:val="22"/>
          <w:lang w:val="en-GB"/>
        </w:rPr>
        <w:t>最常用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大隱靜脈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；</w:t>
      </w:r>
      <w:r>
        <w:rPr>
          <w:rFonts w:ascii="微軟正黑體" w:eastAsia="微軟正黑體" w:hAnsi="微軟正黑體" w:cs="Calibri" w:hint="eastAsia"/>
          <w:b/>
          <w:bCs/>
          <w:color w:val="366092"/>
          <w:sz w:val="22"/>
          <w:szCs w:val="22"/>
          <w:lang w:val="en-GB"/>
        </w:rPr>
        <w:t>最暢通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左側內乳動脈</w:t>
      </w:r>
    </w:p>
    <w:p w:rsidR="002575CB" w:rsidRDefault="002575CB">
      <w:pPr>
        <w:numPr>
          <w:ilvl w:val="3"/>
          <w:numId w:val="7"/>
        </w:numPr>
        <w:spacing w:before="100" w:after="100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糖尿病人不建議取雙側內乳動脈，會增加感染風險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有幫浦停跳（</w:t>
      </w:r>
      <w:r>
        <w:rPr>
          <w:rFonts w:ascii="Calibri" w:hAnsi="Calibri" w:cs="Calibri"/>
          <w:color w:val="366092"/>
          <w:sz w:val="28"/>
          <w:szCs w:val="28"/>
        </w:rPr>
        <w:t>on-pump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）與無幫浦不停跳（</w:t>
      </w:r>
      <w:r>
        <w:rPr>
          <w:rFonts w:ascii="Calibri" w:hAnsi="Calibri" w:cs="Calibri"/>
          <w:color w:val="366092"/>
          <w:sz w:val="28"/>
          <w:szCs w:val="28"/>
        </w:rPr>
        <w:t>off-pump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）之比較</w:t>
      </w:r>
    </w:p>
    <w:p w:rsidR="002575CB" w:rsidRDefault="002575CB">
      <w:pPr>
        <w:numPr>
          <w:ilvl w:val="3"/>
          <w:numId w:val="8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手術中可選擇使用有幫浦停跳（</w:t>
      </w:r>
      <w:r>
        <w:rPr>
          <w:rFonts w:ascii="Calibri" w:hAnsi="Calibri" w:cs="Calibri"/>
          <w:sz w:val="22"/>
          <w:szCs w:val="22"/>
        </w:rPr>
        <w:t>on-pump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）或無幫浦不停跳（</w:t>
      </w:r>
      <w:r>
        <w:rPr>
          <w:rFonts w:ascii="Calibri" w:hAnsi="Calibri" w:cs="Calibri"/>
          <w:sz w:val="22"/>
          <w:szCs w:val="22"/>
        </w:rPr>
        <w:t>off-pump</w:t>
      </w:r>
      <w:r>
        <w:rPr>
          <w:rFonts w:ascii="微軟正黑體" w:eastAsia="微軟正黑體" w:hAnsi="微軟正黑體" w:cs="Calibri" w:hint="eastAsia"/>
          <w:sz w:val="22"/>
          <w:szCs w:val="22"/>
        </w:rPr>
        <w:t>）術式</w:t>
      </w:r>
    </w:p>
    <w:p w:rsidR="002575CB" w:rsidRDefault="002575CB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一年後各項預後和存活率皆無差異</w:t>
      </w:r>
    </w:p>
    <w:p w:rsidR="002575CB" w:rsidRDefault="002575CB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兩者都需要用</w:t>
      </w:r>
      <w:r>
        <w:rPr>
          <w:rFonts w:ascii="Calibri" w:hAnsi="Calibri" w:cs="Calibri"/>
          <w:sz w:val="22"/>
          <w:szCs w:val="22"/>
          <w:lang w:val="en-GB"/>
        </w:rPr>
        <w:t xml:space="preserve"> Heparin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3"/>
        <w:gridCol w:w="2063"/>
        <w:gridCol w:w="4000"/>
      </w:tblGrid>
      <w:tr w:rsidR="00000000">
        <w:trPr>
          <w:divId w:val="1396780899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On-pump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Off-pump</w:t>
            </w:r>
          </w:p>
        </w:tc>
      </w:tr>
      <w:tr w:rsidR="00000000">
        <w:trPr>
          <w:divId w:val="1396780899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體溫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要降體溫</w:t>
            </w:r>
          </w:p>
        </w:tc>
        <w:tc>
          <w:tcPr>
            <w:tcW w:w="5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不需要降體溫</w:t>
            </w:r>
          </w:p>
        </w:tc>
      </w:tr>
      <w:tr w:rsidR="00000000">
        <w:trPr>
          <w:divId w:val="1396780899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心臟麻痹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需心臟麻痹</w:t>
            </w:r>
          </w:p>
        </w:tc>
        <w:tc>
          <w:tcPr>
            <w:tcW w:w="5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不用心臟麻痹</w:t>
            </w:r>
          </w:p>
        </w:tc>
      </w:tr>
      <w:tr w:rsidR="00000000">
        <w:trPr>
          <w:divId w:val="1396780899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心臟功能不好建議用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Pump</w:t>
            </w:r>
          </w:p>
          <w:p w:rsidR="002575CB" w:rsidRDefault="002575C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升主動脈鈣化或嚴重粥狀動脈硬化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LAD single vessle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、年紀過大（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&gt;75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）、腎臟與肺臟功能不佳、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曾有中風或高中風風險族群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、睡眠呼吸中止症、重複手術者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1396780899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禁忌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  <w:tc>
          <w:tcPr>
            <w:tcW w:w="5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緊急、血行動力學不穩定（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hemodynamic unstable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）、嚴重心律不整</w:t>
            </w:r>
          </w:p>
        </w:tc>
      </w:tr>
      <w:tr w:rsidR="00000000">
        <w:trPr>
          <w:divId w:val="1396780899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好處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縫得比較好</w:t>
            </w:r>
          </w:p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血管再灌流率較完整</w:t>
            </w:r>
          </w:p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遠端血管吻合機會增加</w:t>
            </w:r>
          </w:p>
        </w:tc>
        <w:tc>
          <w:tcPr>
            <w:tcW w:w="5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減少術中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morbidity and mortality rates</w:t>
            </w:r>
          </w:p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減少術後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cytokines level</w:t>
            </w:r>
          </w:p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減少微小腦血栓的產生</w:t>
            </w:r>
          </w:p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減少長期中風率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1396780899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缺點</w:t>
            </w:r>
          </w:p>
        </w:tc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長期死亡率、再次血管重建比率、血管通暢率均較差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</w:p>
        </w:tc>
      </w:tr>
    </w:tbl>
    <w:p w:rsidR="002575CB" w:rsidRDefault="002575CB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Calibri" w:hAnsi="Calibri" w:cs="Calibri"/>
          <w:color w:val="366092"/>
          <w:sz w:val="28"/>
          <w:szCs w:val="28"/>
        </w:rPr>
        <w:t>PTCA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和</w:t>
      </w:r>
      <w:r>
        <w:rPr>
          <w:rFonts w:ascii="Calibri" w:hAnsi="Calibri" w:cs="Calibri"/>
          <w:color w:val="366092"/>
          <w:sz w:val="28"/>
          <w:szCs w:val="28"/>
        </w:rPr>
        <w:t>CABG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的比較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54"/>
        <w:gridCol w:w="3433"/>
      </w:tblGrid>
      <w:tr w:rsidR="00000000">
        <w:trPr>
          <w:divId w:val="1829440633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Percutaneous Transluminal Coronary Angioplasty, </w:t>
            </w:r>
            <w:r>
              <w:rPr>
                <w:rFonts w:ascii="Calibri" w:hAnsi="Calibri" w:cs="Calibri" w:hint="eastAsia"/>
                <w:b/>
                <w:bCs/>
                <w:sz w:val="22"/>
                <w:szCs w:val="22"/>
              </w:rPr>
              <w:t>PTCA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CABG</w:t>
            </w:r>
          </w:p>
        </w:tc>
      </w:tr>
      <w:tr w:rsidR="00000000">
        <w:trPr>
          <w:divId w:val="1829440633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傷口小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侵入性高、手術風險較高</w:t>
            </w:r>
          </w:p>
          <w:p w:rsidR="002575CB" w:rsidRDefault="002575CB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829440633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費用較低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費用較高</w:t>
            </w:r>
          </w:p>
        </w:tc>
      </w:tr>
      <w:tr w:rsidR="00000000">
        <w:trPr>
          <w:divId w:val="1829440633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無法完全暢通，再阻塞機率高</w:t>
            </w:r>
          </w:p>
        </w:tc>
        <w:tc>
          <w:tcPr>
            <w:tcW w:w="3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可完全暢通，預後較好</w:t>
            </w:r>
          </w:p>
        </w:tc>
      </w:tr>
      <w:tr w:rsidR="00000000">
        <w:trPr>
          <w:divId w:val="1829440633"/>
        </w:trPr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1-2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條阻塞、遠端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LAD occulsion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，預後比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CABG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</w:t>
            </w:r>
          </w:p>
        </w:tc>
        <w:tc>
          <w:tcPr>
            <w:tcW w:w="3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575CB" w:rsidRDefault="002575CB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LV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dysfunction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病人效果較好</w:t>
            </w:r>
          </w:p>
        </w:tc>
      </w:tr>
    </w:tbl>
    <w:p w:rsidR="002575CB" w:rsidRDefault="002575CB">
      <w:pPr>
        <w:numPr>
          <w:ilvl w:val="1"/>
          <w:numId w:val="10"/>
        </w:numPr>
        <w:spacing w:before="100" w:after="100"/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術後合併症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心包膜塡塞、出血、腦病變、腎衰竭、縱膈腔炎</w:t>
      </w:r>
    </w:p>
    <w:p w:rsidR="002575CB" w:rsidRDefault="002575CB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2575CB" w:rsidRDefault="002575CB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糖尿病、三條冠狀動脈狹窄或左主冠狀動脈疾病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的患者，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接受冠狀動脈繞道手術的長期預後比較好</w:t>
      </w:r>
    </w:p>
    <w:p w:rsidR="002575CB" w:rsidRDefault="002575CB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LANCET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</w:t>
      </w:r>
      <w:r>
        <w:rPr>
          <w:rFonts w:ascii="Calibri" w:hAnsi="Calibri" w:cs="Calibri"/>
          <w:color w:val="000000"/>
          <w:sz w:val="22"/>
          <w:szCs w:val="22"/>
        </w:rPr>
        <w:t>2018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年的研究顯示，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糖尿病患者合併三條冠狀動脈疾病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DM+3-vessel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接受冠狀動脈繞道手術比支架置放可以減少</w:t>
      </w:r>
      <w:r>
        <w:rPr>
          <w:rFonts w:ascii="Calibri" w:hAnsi="Calibri" w:cs="Calibri"/>
          <w:color w:val="C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五年死亡率</w:t>
      </w:r>
    </w:p>
    <w:p w:rsidR="002575CB" w:rsidRDefault="002575CB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LANCET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</w:t>
      </w:r>
      <w:r>
        <w:rPr>
          <w:rFonts w:ascii="Calibri" w:hAnsi="Calibri" w:cs="Calibri"/>
          <w:color w:val="000000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年追蹤十年的大規模研究顯示，</w:t>
      </w:r>
      <w:r>
        <w:rPr>
          <w:rFonts w:ascii="Calibri" w:hAnsi="Calibri" w:cs="Calibri"/>
          <w:color w:val="C00000"/>
          <w:sz w:val="22"/>
          <w:szCs w:val="22"/>
        </w:rPr>
        <w:t>SYNTAX Score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大於</w:t>
      </w:r>
      <w:r>
        <w:rPr>
          <w:rFonts w:ascii="Calibri" w:hAnsi="Calibri" w:cs="Calibri"/>
          <w:color w:val="C00000"/>
          <w:sz w:val="22"/>
          <w:szCs w:val="22"/>
        </w:rPr>
        <w:t>33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分，接受冠狀動脈繞道手術可以顯著降低死亡率和重大心血管事件風險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2575CB" w:rsidRDefault="002575CB">
      <w:pPr>
        <w:numPr>
          <w:ilvl w:val="1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Reference</w:t>
      </w:r>
    </w:p>
    <w:p w:rsidR="002575CB" w:rsidRDefault="002575CB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2575CB" w:rsidRDefault="002575CB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2575CB" w:rsidRDefault="002575C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Coronary artery bypass graft, AMBOSS 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75CB" w:rsidRDefault="002575CB" w:rsidP="002575CB">
      <w:r>
        <w:separator/>
      </w:r>
    </w:p>
  </w:endnote>
  <w:endnote w:type="continuationSeparator" w:id="0">
    <w:p w:rsidR="002575CB" w:rsidRDefault="002575CB" w:rsidP="0025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75CB" w:rsidRDefault="002575CB" w:rsidP="002575CB">
      <w:r>
        <w:separator/>
      </w:r>
    </w:p>
  </w:footnote>
  <w:footnote w:type="continuationSeparator" w:id="0">
    <w:p w:rsidR="002575CB" w:rsidRDefault="002575CB" w:rsidP="00257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E0CC6"/>
    <w:multiLevelType w:val="multilevel"/>
    <w:tmpl w:val="B96A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011169">
    <w:abstractNumId w:val="0"/>
  </w:num>
  <w:num w:numId="2" w16cid:durableId="79116859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75374101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645456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09452109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71392398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184007902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95121019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4537868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164403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CB"/>
    <w:rsid w:val="002575CB"/>
    <w:rsid w:val="0035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CF60F4-82C5-4954-B826-16231A57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57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5C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57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5C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8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