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25CD" w:rsidRDefault="00D125C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上肢深層靜脈栓塞（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Upper Extremity Deep Vein Thrombosis, UEDVT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）</w:t>
      </w:r>
    </w:p>
    <w:p w:rsidR="00D125CD" w:rsidRDefault="00D125CD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June 11, 2025</w:t>
      </w:r>
    </w:p>
    <w:p w:rsidR="00D125CD" w:rsidRDefault="00D125C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12:26 PM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上肢深層靜脈中有血栓形成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上肢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&lt;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下肢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僅佔全部</w:t>
      </w:r>
      <w:r>
        <w:rPr>
          <w:rFonts w:ascii="Calibri" w:hAnsi="Calibri" w:cs="Calibri"/>
          <w:color w:val="ED7D31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的</w:t>
      </w:r>
      <w:r>
        <w:rPr>
          <w:rFonts w:ascii="Calibri" w:hAnsi="Calibri" w:cs="Calibri"/>
          <w:color w:val="ED7D31"/>
          <w:sz w:val="22"/>
          <w:szCs w:val="22"/>
        </w:rPr>
        <w:t>5%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原發性多發於年輕人</w:t>
      </w:r>
      <w:r>
        <w:rPr>
          <w:rFonts w:ascii="微軟正黑體" w:eastAsia="微軟正黑體" w:hAnsi="微軟正黑體" w:cs="Calibri" w:hint="eastAsia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次發性多見於年長者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次發性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原發性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近端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sz w:val="22"/>
          <w:szCs w:val="22"/>
        </w:rPr>
        <w:t>，其中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鎖骨下靜脈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是最常受影響的部位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sz w:val="22"/>
          <w:szCs w:val="22"/>
        </w:rPr>
        <w:t xml:space="preserve"> 60%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患者會影響多條靜脈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根據病變位置</w:t>
      </w:r>
    </w:p>
    <w:p w:rsidR="00D125CD" w:rsidRDefault="00D125C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近端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腋靜脈（</w:t>
      </w:r>
      <w:r>
        <w:rPr>
          <w:rFonts w:ascii="Calibri" w:hAnsi="Calibri" w:cs="Calibri"/>
          <w:color w:val="C00000"/>
          <w:sz w:val="22"/>
          <w:szCs w:val="22"/>
        </w:rPr>
        <w:t>axillary vein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）、鎖骨下靜脈（</w:t>
      </w:r>
      <w:r>
        <w:rPr>
          <w:rFonts w:ascii="Calibri" w:hAnsi="Calibri" w:cs="Calibri"/>
          <w:color w:val="C00000"/>
          <w:sz w:val="22"/>
          <w:szCs w:val="22"/>
        </w:rPr>
        <w:t>subclavian vein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125CD" w:rsidRDefault="00D125C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肱靜脈（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brachial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）、橈靜脈（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radial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）、尺靜脈（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ulnar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）、骨間靜脈（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interosseus veins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根據病因</w:t>
      </w:r>
    </w:p>
    <w:p w:rsidR="00D125CD" w:rsidRDefault="00D125C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年輕人</w:t>
      </w:r>
      <w:r>
        <w:rPr>
          <w:rFonts w:ascii="微軟正黑體" w:eastAsia="微軟正黑體" w:hAnsi="微軟正黑體" w:cs="Calibri" w:hint="eastAsia"/>
          <w:sz w:val="22"/>
          <w:szCs w:val="22"/>
        </w:rPr>
        <w:t>較常見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靜脈型胸廓出口症候群（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Venous thoracic outlet 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反覆的外力壓迫鎖骨下靜脈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，導致血栓形成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病因</w:t>
      </w:r>
    </w:p>
    <w:p w:rsidR="00D125CD" w:rsidRDefault="00D125CD">
      <w:pPr>
        <w:numPr>
          <w:ilvl w:val="6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肌肉量增加</w:t>
      </w:r>
    </w:p>
    <w:p w:rsidR="00D125CD" w:rsidRDefault="00D125CD">
      <w:pPr>
        <w:numPr>
          <w:ilvl w:val="6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結締組織纖維化</w:t>
      </w:r>
    </w:p>
    <w:p w:rsidR="00D125CD" w:rsidRDefault="00D125CD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解剖異常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肌筋膜帶（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myofascial bands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）、頸肋（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cervical rib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Paget-Schroetter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：努力性血栓形成（</w:t>
      </w:r>
      <w:r>
        <w:rPr>
          <w:rFonts w:ascii="Calibri" w:hAnsi="Calibri" w:cs="Calibri"/>
          <w:sz w:val="22"/>
          <w:szCs w:val="22"/>
        </w:rPr>
        <w:t>Effort-induced thrombosis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125CD" w:rsidRDefault="00D125CD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lastRenderedPageBreak/>
        <w:t>反覆劇烈使用上肢活動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，如：舉重、體操、操作風鎚（</w:t>
      </w:r>
      <w:r>
        <w:rPr>
          <w:rFonts w:ascii="Calibri" w:hAnsi="Calibri" w:cs="Calibri"/>
          <w:sz w:val="22"/>
          <w:szCs w:val="22"/>
        </w:rPr>
        <w:t>jackhammer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Idiopathic</w:t>
      </w:r>
      <w:r>
        <w:rPr>
          <w:rFonts w:ascii="微軟正黑體" w:eastAsia="微軟正黑體" w:hAnsi="微軟正黑體" w:cs="Calibri" w:hint="eastAsia"/>
          <w:sz w:val="22"/>
          <w:szCs w:val="22"/>
        </w:rPr>
        <w:t>：原因不明</w:t>
      </w:r>
    </w:p>
    <w:p w:rsidR="00D125CD" w:rsidRDefault="00D125C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較多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靜脈內裝置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中心靜脈導管（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central venous catheters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心律調節器導線（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pacemaker leads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高凝血狀態（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Hypercoagulable states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惡性腫瘤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遺傳性血栓形成（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hereditary thrombophilia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懷孕</w:t>
      </w:r>
    </w:p>
    <w:p w:rsidR="00D125CD" w:rsidRDefault="00D125CD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口服避孕藥</w:t>
      </w:r>
    </w:p>
    <w:p w:rsidR="00D125CD" w:rsidRDefault="00D125CD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長時間上肢不動（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Prolonged upper extremity immobilization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臨床表現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近端</w:t>
      </w:r>
      <w:r>
        <w:rPr>
          <w:rFonts w:ascii="Calibri" w:hAnsi="Calibri" w:cs="Calibri"/>
          <w:color w:val="C00000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的症狀通常比遠端嚴重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急性血栓</w:t>
      </w:r>
    </w:p>
    <w:p w:rsidR="00D125CD" w:rsidRDefault="00D125C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患肢變色、腫脹、疼痛</w:t>
      </w:r>
    </w:p>
    <w:p w:rsidR="00D125CD" w:rsidRDefault="00D125C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表淺靜脈擴張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慢性血栓</w:t>
      </w:r>
    </w:p>
    <w:p w:rsidR="00D125CD" w:rsidRDefault="00D125CD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通常無症狀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，直到完全阻塞為止</w:t>
      </w:r>
    </w:p>
    <w:p w:rsidR="00D125CD" w:rsidRDefault="00D125CD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即使完全阻塞，也可能僅有非特異性或輕微症狀，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因側支循環可部分代償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治療與處置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初步評估</w:t>
      </w:r>
    </w:p>
    <w:p w:rsidR="00D125CD" w:rsidRDefault="00D125CD">
      <w:pPr>
        <w:numPr>
          <w:ilvl w:val="3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Constans score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：估計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 UEDVT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的機率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65"/>
        <w:gridCol w:w="1621"/>
      </w:tblGrid>
      <w:tr w:rsidR="00000000">
        <w:trPr>
          <w:divId w:val="179170388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Symptoms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Points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791703889"/>
        </w:trPr>
        <w:tc>
          <w:tcPr>
            <w:tcW w:w="5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靜脈內裝置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（鎖骨下靜脈、頸靜脈或有心律調節器處）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79170388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局部疼痛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Localised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79170388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凹陷型水腫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Unilateral pitting oedema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</w:t>
            </w:r>
          </w:p>
        </w:tc>
      </w:tr>
      <w:tr w:rsidR="00000000">
        <w:trPr>
          <w:divId w:val="179170388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有其他合理診斷（</w:t>
            </w:r>
            <w:r>
              <w:rPr>
                <w:rFonts w:ascii="Calibri" w:hAnsi="Calibri" w:cs="Calibri"/>
                <w:sz w:val="22"/>
                <w:szCs w:val="22"/>
              </w:rPr>
              <w:t>Other diagnosis at least as plausible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</w:t>
            </w:r>
          </w:p>
        </w:tc>
      </w:tr>
    </w:tbl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2"/>
        <w:gridCol w:w="3064"/>
      </w:tblGrid>
      <w:tr w:rsidR="00000000"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Total Score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風險程度（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Risk level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≤ 0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低風險（</w:t>
            </w:r>
            <w:r>
              <w:rPr>
                <w:rFonts w:ascii="Calibri" w:hAnsi="Calibri" w:cs="Calibri"/>
                <w:sz w:val="22"/>
                <w:szCs w:val="22"/>
              </w:rPr>
              <w:t>Low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 1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中等風險（</w:t>
            </w:r>
            <w:r>
              <w:rPr>
                <w:rFonts w:ascii="Calibri" w:hAnsi="Calibri" w:cs="Calibri"/>
                <w:sz w:val="22"/>
                <w:szCs w:val="22"/>
              </w:rPr>
              <w:t>Intermediate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≥ 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25CD" w:rsidRDefault="00D125C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高風險（</w:t>
            </w:r>
            <w:r>
              <w:rPr>
                <w:rFonts w:ascii="Calibri" w:hAnsi="Calibri" w:cs="Calibri"/>
                <w:sz w:val="22"/>
                <w:szCs w:val="22"/>
              </w:rPr>
              <w:t>High risk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b/>
          <w:bCs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分：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直接做超音波或測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D-dimer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&lt; 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分：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D-dimer</w:t>
      </w:r>
    </w:p>
    <w:p w:rsidR="00D125CD" w:rsidRDefault="00D125CD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陰性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排除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UEDVT</w:t>
      </w:r>
    </w:p>
    <w:p w:rsidR="00D125CD" w:rsidRDefault="00D125CD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超音波</w:t>
      </w:r>
    </w:p>
    <w:p w:rsidR="00D125CD" w:rsidRDefault="00D125CD">
      <w:pPr>
        <w:numPr>
          <w:ilvl w:val="1"/>
          <w:numId w:val="7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進一步評估</w:t>
      </w:r>
    </w:p>
    <w:p w:rsidR="00D125CD" w:rsidRDefault="00D125CD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若初步超音波為陰性但臨床仍高度懷疑</w:t>
      </w:r>
    </w:p>
    <w:p w:rsidR="00D125CD" w:rsidRDefault="00D125CD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考慮重複超音波</w:t>
      </w:r>
    </w:p>
    <w:p w:rsidR="00D125CD" w:rsidRDefault="00D125CD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CT/MR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靜脈攝影</w:t>
      </w:r>
    </w:p>
    <w:p w:rsidR="00D125CD" w:rsidRDefault="00D125CD">
      <w:pPr>
        <w:numPr>
          <w:ilvl w:val="2"/>
          <w:numId w:val="8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懷疑原發性：</w:t>
      </w: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檢查是否有骨骼異常</w:t>
      </w:r>
    </w:p>
    <w:p w:rsidR="00D125CD" w:rsidRDefault="00D125CD">
      <w:pPr>
        <w:numPr>
          <w:ilvl w:val="2"/>
          <w:numId w:val="8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懷疑續發性：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癌症篩檢、抽血檢查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是否有遺傳性血栓性疾病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原則</w:t>
      </w:r>
    </w:p>
    <w:p w:rsidR="00D125CD" w:rsidRDefault="00D125C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近端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</w:t>
      </w:r>
    </w:p>
    <w:p w:rsidR="00D125CD" w:rsidRDefault="00D125CD">
      <w:pPr>
        <w:numPr>
          <w:ilvl w:val="4"/>
          <w:numId w:val="1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一線：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抗凝血治療</w:t>
      </w:r>
    </w:p>
    <w:p w:rsidR="00D125CD" w:rsidRDefault="00D125CD">
      <w:pPr>
        <w:numPr>
          <w:ilvl w:val="4"/>
          <w:numId w:val="1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二線：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若症狀嚴重或威脅到肢體，且沒有溶栓禁忌症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導管導向溶栓術（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CDT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125CD" w:rsidRDefault="00D125C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遠端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</w:p>
    <w:p w:rsidR="00D125CD" w:rsidRDefault="00D125CD">
      <w:pPr>
        <w:numPr>
          <w:ilvl w:val="4"/>
          <w:numId w:val="1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有症狀：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抗凝血治療</w:t>
      </w:r>
    </w:p>
    <w:p w:rsidR="00D125CD" w:rsidRDefault="00D125CD">
      <w:pPr>
        <w:numPr>
          <w:ilvl w:val="4"/>
          <w:numId w:val="1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無症狀：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觀察，定期追蹤超音波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抗凝血治療</w:t>
      </w:r>
    </w:p>
    <w:p w:rsidR="00D125CD" w:rsidRDefault="00D125CD">
      <w:pPr>
        <w:numPr>
          <w:ilvl w:val="3"/>
          <w:numId w:val="1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初始治療：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UFH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或低分子量肝素（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125CD" w:rsidRDefault="00D125C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長期治療</w:t>
      </w:r>
    </w:p>
    <w:p w:rsidR="00D125CD" w:rsidRDefault="00D125CD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</w:t>
      </w:r>
    </w:p>
    <w:p w:rsidR="00D125CD" w:rsidRDefault="00D125CD">
      <w:pPr>
        <w:numPr>
          <w:ilvl w:val="4"/>
          <w:numId w:val="1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Warfarin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、或直接口服抗凝劑（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DOACs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進一步處理潛在病因</w:t>
      </w:r>
    </w:p>
    <w:p w:rsidR="00D125CD" w:rsidRDefault="00D125CD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原發性：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若抗凝與溶栓後仍有症狀，考慮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胸廓出口減壓</w:t>
      </w:r>
    </w:p>
    <w:p w:rsidR="00D125CD" w:rsidRDefault="00D125CD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切除前、中斜角肌或第一肋骨</w:t>
      </w:r>
    </w:p>
    <w:p w:rsidR="00D125CD" w:rsidRDefault="00D125CD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術後建議抗凝治療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6-12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個月</w:t>
      </w:r>
    </w:p>
    <w:p w:rsidR="00D125CD" w:rsidRDefault="00D125C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以下情況應考慮移除靜脈裝置</w:t>
      </w:r>
    </w:p>
    <w:p w:rsidR="00D125CD" w:rsidRDefault="00D125CD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血栓症狀持續</w:t>
      </w:r>
    </w:p>
    <w:p w:rsidR="00D125CD" w:rsidRDefault="00D125CD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有症狀且無法接受抗凝血治療</w:t>
      </w:r>
    </w:p>
    <w:p w:rsidR="00D125CD" w:rsidRDefault="00D125CD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有導管相關感染</w:t>
      </w:r>
    </w:p>
    <w:p w:rsidR="00D125CD" w:rsidRDefault="00D125CD">
      <w:pPr>
        <w:numPr>
          <w:ilvl w:val="4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器械已無使用需要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肺栓塞（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pulmonary embolism, PE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125CD" w:rsidRDefault="00D125CD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三分之一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>UEDVT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患者會發生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上腔靜脈症候群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血栓後症候群（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PTS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125CD" w:rsidRDefault="00D125C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>20%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Calibri" w:hAnsi="Calibri" w:cs="Calibri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Calibri" w:hAnsi="Calibri" w:cs="Calibri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患者會發生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UEDVT </w:t>
      </w:r>
    </w:p>
    <w:p w:rsidR="00D125CD" w:rsidRDefault="00D125C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靜脈壞疽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極嚴重但罕見</w:t>
      </w:r>
    </w:p>
    <w:p w:rsidR="00D125CD" w:rsidRDefault="00D125C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D125CD" w:rsidRDefault="00D125CD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D125CD" w:rsidRDefault="00D125CD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D125CD" w:rsidRDefault="00D125CD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Upper Extremity Deep Vein Thrombosis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p w:rsidR="00D125CD" w:rsidRDefault="00D125CD">
      <w:pPr>
        <w:numPr>
          <w:ilvl w:val="1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Constans Score, Physiopedia</w:t>
      </w:r>
      <w:r>
        <w:rPr>
          <w:rFonts w:ascii="Calibri" w:hAnsi="Calibri" w:cs="Calibri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https://www.physio-pedia.com/Constans_Score</w:t>
        </w:r>
      </w:hyperlink>
    </w:p>
    <w:p w:rsidR="00D125CD" w:rsidRDefault="00D125CD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125CD" w:rsidRDefault="00D125CD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25CD" w:rsidRDefault="00D125CD" w:rsidP="00D125CD">
      <w:r>
        <w:separator/>
      </w:r>
    </w:p>
  </w:endnote>
  <w:endnote w:type="continuationSeparator" w:id="0">
    <w:p w:rsidR="00D125CD" w:rsidRDefault="00D125CD" w:rsidP="00D1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25CD" w:rsidRDefault="00D125CD" w:rsidP="00D125CD">
      <w:r>
        <w:separator/>
      </w:r>
    </w:p>
  </w:footnote>
  <w:footnote w:type="continuationSeparator" w:id="0">
    <w:p w:rsidR="00D125CD" w:rsidRDefault="00D125CD" w:rsidP="00D12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66D31"/>
    <w:multiLevelType w:val="multilevel"/>
    <w:tmpl w:val="F338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00683">
    <w:abstractNumId w:val="0"/>
  </w:num>
  <w:num w:numId="2" w16cid:durableId="1414471646">
    <w:abstractNumId w:val="0"/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3" w16cid:durableId="212857530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24202809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5814114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32775406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225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673598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46974047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51808154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18574595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130936300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48143522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29914455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84594735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92688666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03885261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88749342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18451517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615668006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89011486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D"/>
    <w:rsid w:val="00D125CD"/>
    <w:rsid w:val="00D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B8F5A7-BFC1-41D4-9227-9790D5A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12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25C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12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25C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70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ysio-pedia.com/Constans_S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