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4E34" w:rsidRDefault="00694E3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神外術後電解質常見失衡</w:t>
      </w:r>
    </w:p>
    <w:p w:rsidR="00694E34" w:rsidRDefault="00694E3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94E34" w:rsidRDefault="00694E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09:32</w:t>
      </w:r>
    </w:p>
    <w:p w:rsidR="00694E34" w:rsidRDefault="00694E3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E34" w:rsidRDefault="00694E34">
      <w:pPr>
        <w:numPr>
          <w:ilvl w:val="1"/>
          <w:numId w:val="1"/>
        </w:numPr>
        <w:spacing w:line="7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Cerbral salt wasting</w:t>
      </w:r>
    </w:p>
    <w:p w:rsidR="00694E34" w:rsidRDefault="00694E34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color w:val="131314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大腦鹽耗症候群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 xml:space="preserve"> (Cerebral salt wasting, CSW) 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是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  <w:shd w:val="clear" w:color="auto" w:fill="FFFFFF"/>
        </w:rPr>
        <w:t>低血鈉伴隨尿鈉升高和低血容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shd w:val="clear" w:color="auto" w:fill="FFFFFF"/>
        </w:rPr>
        <w:t>的現象</w:t>
      </w:r>
    </w:p>
    <w:p w:rsidR="00694E34" w:rsidRDefault="00694E34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流行病學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&amp;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機制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發生原因不明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蛛網膜下腔出血患者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以及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神外手術術後患</w:t>
      </w:r>
      <w:r>
        <w:rPr>
          <w:rFonts w:ascii="微軟正黑體" w:eastAsia="微軟正黑體" w:hAnsi="微軟正黑體" w:cs="Calibri" w:hint="eastAsia"/>
          <w:sz w:val="22"/>
          <w:szCs w:val="22"/>
        </w:rPr>
        <w:t>者</w:t>
      </w:r>
    </w:p>
    <w:p w:rsidR="00694E34" w:rsidRDefault="00694E34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低血容量、低張性低血鈉症</w:t>
      </w:r>
      <w:r>
        <w:rPr>
          <w:rFonts w:ascii="微軟正黑體" w:eastAsia="微軟正黑體" w:hAnsi="微軟正黑體" w:cs="Calibri" w:hint="eastAsia"/>
          <w:sz w:val="22"/>
          <w:szCs w:val="22"/>
        </w:rPr>
        <w:t>(hypovolemic, hypotonic hyponatremia)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可能併發多尿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天左右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</w:t>
      </w:r>
    </w:p>
    <w:p w:rsidR="00694E34" w:rsidRDefault="00694E34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同時具備以下特徵：</w:t>
      </w:r>
    </w:p>
    <w:p w:rsidR="00694E34" w:rsidRDefault="00694E34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135 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，伴隨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低血漿滲透壓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694E34" w:rsidRDefault="00694E34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尿液滲透壓高於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常見高於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尿鈉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濃度通常高於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40mEq/L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CSW </w:t>
      </w:r>
      <w:r>
        <w:rPr>
          <w:rFonts w:ascii="微軟正黑體" w:eastAsia="微軟正黑體" w:hAnsi="微軟正黑體" w:cs="Calibri" w:hint="eastAsia"/>
          <w:sz w:val="22"/>
          <w:szCs w:val="22"/>
        </w:rPr>
        <w:t>的診斷可能還需要觀察補充輸液後是否會導致尿液稀釋以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 SIADH(</w:t>
      </w:r>
      <w:r>
        <w:rPr>
          <w:rFonts w:ascii="微軟正黑體" w:eastAsia="微軟正黑體" w:hAnsi="微軟正黑體" w:cs="Calibri" w:hint="eastAsia"/>
          <w:sz w:val="22"/>
          <w:szCs w:val="22"/>
        </w:rPr>
        <w:t>但不是絕對可以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，目前仍有爭議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694E34" w:rsidRDefault="00694E34">
      <w:pPr>
        <w:numPr>
          <w:ilvl w:val="2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近期開過刀或</w:t>
      </w:r>
      <w:r>
        <w:rPr>
          <w:rFonts w:ascii="微軟正黑體" w:eastAsia="微軟正黑體" w:hAnsi="微軟正黑體" w:cs="Calibri" w:hint="eastAsia"/>
          <w:sz w:val="22"/>
          <w:szCs w:val="22"/>
        </w:rPr>
        <w:t>SAH:</w:t>
      </w:r>
    </w:p>
    <w:p w:rsidR="00694E34" w:rsidRDefault="00694E34">
      <w:pPr>
        <w:numPr>
          <w:ilvl w:val="4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3% Normal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迅速增加血鈉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如果需要同時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診斷加治療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可以試著用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isotonic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。理論上是可以抑制</w:t>
      </w:r>
      <w:r>
        <w:rPr>
          <w:rFonts w:ascii="微軟正黑體" w:eastAsia="微軟正黑體" w:hAnsi="微軟正黑體" w:cs="Calibri" w:hint="eastAsia"/>
          <w:sz w:val="22"/>
          <w:szCs w:val="22"/>
        </w:rPr>
        <w:t>ADH</w:t>
      </w:r>
      <w:r>
        <w:rPr>
          <w:rFonts w:ascii="微軟正黑體" w:eastAsia="微軟正黑體" w:hAnsi="微軟正黑體" w:cs="Calibri" w:hint="eastAsia"/>
          <w:sz w:val="22"/>
          <w:szCs w:val="22"/>
        </w:rPr>
        <w:t>釋放進而排出多餘的水，如果同時有</w:t>
      </w:r>
      <w:r>
        <w:rPr>
          <w:rFonts w:ascii="微軟正黑體" w:eastAsia="微軟正黑體" w:hAnsi="微軟正黑體" w:cs="Calibri" w:hint="eastAsia"/>
          <w:sz w:val="22"/>
          <w:szCs w:val="22"/>
        </w:rPr>
        <w:t>SIADH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的病患通常可以讓尿液濃度由太高恢復正常；反之如果單純為</w:t>
      </w:r>
      <w:r>
        <w:rPr>
          <w:rFonts w:ascii="微軟正黑體" w:eastAsia="微軟正黑體" w:hAnsi="微軟正黑體" w:cs="Calibri" w:hint="eastAsia"/>
          <w:sz w:val="22"/>
          <w:szCs w:val="22"/>
        </w:rPr>
        <w:t>CSW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患者則可能產生過度稀釋的尿液。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給予口服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鹽片</w:t>
      </w:r>
      <w:r>
        <w:rPr>
          <w:rFonts w:ascii="微軟正黑體" w:eastAsia="微軟正黑體" w:hAnsi="微軟正黑體" w:cs="Calibri" w:hint="eastAsia"/>
          <w:sz w:val="22"/>
          <w:szCs w:val="22"/>
        </w:rPr>
        <w:t>緩解症狀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fludrocortisone</w:t>
      </w:r>
      <w:r>
        <w:rPr>
          <w:rFonts w:ascii="微軟正黑體" w:eastAsia="微軟正黑體" w:hAnsi="微軟正黑體" w:cs="Calibri" w:hint="eastAsia"/>
          <w:sz w:val="22"/>
          <w:szCs w:val="22"/>
        </w:rPr>
        <w:t>亦有緩解功效</w:t>
      </w:r>
    </w:p>
    <w:p w:rsidR="00694E34" w:rsidRDefault="00694E34">
      <w:pPr>
        <w:numPr>
          <w:ilvl w:val="3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限水無效</w:t>
      </w:r>
      <w:r>
        <w:rPr>
          <w:rFonts w:ascii="微軟正黑體" w:eastAsia="微軟正黑體" w:hAnsi="微軟正黑體" w:cs="Calibri" w:hint="eastAsia"/>
          <w:sz w:val="22"/>
          <w:szCs w:val="22"/>
        </w:rPr>
        <w:t>!(</w:t>
      </w:r>
      <w:r>
        <w:rPr>
          <w:rFonts w:ascii="微軟正黑體" w:eastAsia="微軟正黑體" w:hAnsi="微軟正黑體" w:cs="Calibri" w:hint="eastAsia"/>
          <w:sz w:val="22"/>
          <w:szCs w:val="22"/>
        </w:rPr>
        <w:t>但同樣可以診斷用，如果病人是</w:t>
      </w:r>
      <w:r>
        <w:rPr>
          <w:rFonts w:ascii="微軟正黑體" w:eastAsia="微軟正黑體" w:hAnsi="微軟正黑體" w:cs="Calibri" w:hint="eastAsia"/>
          <w:sz w:val="22"/>
          <w:szCs w:val="22"/>
        </w:rPr>
        <w:t>SIADH</w:t>
      </w:r>
      <w:r>
        <w:rPr>
          <w:rFonts w:ascii="微軟正黑體" w:eastAsia="微軟正黑體" w:hAnsi="微軟正黑體" w:cs="Calibri" w:hint="eastAsia"/>
          <w:sz w:val="22"/>
          <w:szCs w:val="22"/>
        </w:rPr>
        <w:t>可兼治療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694E34" w:rsidRDefault="00694E3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694E34" w:rsidRDefault="00694E34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SIADH</w:t>
      </w:r>
    </w:p>
    <w:p w:rsidR="00694E34" w:rsidRDefault="00694E34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SIADH </w:t>
      </w:r>
      <w:r>
        <w:rPr>
          <w:rFonts w:ascii="微軟正黑體" w:eastAsia="微軟正黑體" w:hAnsi="微軟正黑體" w:cs="Calibri" w:hint="eastAsia"/>
          <w:sz w:val="22"/>
          <w:szCs w:val="22"/>
        </w:rPr>
        <w:t>是導致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等容積低滲透壓之低血鈉症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euvolemic hypotonic hyponatremia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）最常見的原因。它是一種內分泌疾病，特徵為抗利尿激素（</w:t>
      </w:r>
      <w:r>
        <w:rPr>
          <w:rFonts w:ascii="微軟正黑體" w:eastAsia="微軟正黑體" w:hAnsi="微軟正黑體" w:cs="Calibri" w:hint="eastAsia"/>
          <w:sz w:val="22"/>
          <w:szCs w:val="22"/>
        </w:rPr>
        <w:t>ADH</w:t>
      </w:r>
      <w:r>
        <w:rPr>
          <w:rFonts w:ascii="微軟正黑體" w:eastAsia="微軟正黑體" w:hAnsi="微軟正黑體" w:cs="Calibri" w:hint="eastAsia"/>
          <w:sz w:val="22"/>
          <w:szCs w:val="22"/>
        </w:rPr>
        <w:t>）分泌過多或作用異常，導致腎臟過度保留水分，從而稀釋血液中的鈉濃度。</w:t>
      </w:r>
    </w:p>
    <w:p w:rsidR="00694E34" w:rsidRDefault="00694E34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機制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腦垂體分泌過多</w:t>
      </w:r>
      <w:r>
        <w:rPr>
          <w:rFonts w:ascii="微軟正黑體" w:eastAsia="微軟正黑體" w:hAnsi="微軟正黑體" w:cs="Calibri" w:hint="eastAsia"/>
          <w:sz w:val="22"/>
          <w:szCs w:val="22"/>
        </w:rPr>
        <w:t>：例如由感染、藥物（像是抗精神病藥物或抗癲癇藥）引發。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異位分泌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(Ectopic ADH)</w:t>
      </w:r>
      <w:r>
        <w:rPr>
          <w:rFonts w:ascii="微軟正黑體" w:eastAsia="微軟正黑體" w:hAnsi="微軟正黑體" w:cs="Calibri" w:hint="eastAsia"/>
          <w:sz w:val="22"/>
          <w:szCs w:val="22"/>
        </w:rPr>
        <w:t>：例如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小細胞肺癌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等惡性腫瘤異位產生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ADH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腎臟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ADH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受體異常激活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</w:t>
      </w:r>
      <w:r>
        <w:rPr>
          <w:rFonts w:ascii="微軟正黑體" w:eastAsia="微軟正黑體" w:hAnsi="微軟正黑體" w:cs="Calibri" w:hint="eastAsia"/>
          <w:sz w:val="22"/>
          <w:szCs w:val="22"/>
        </w:rPr>
        <w:t>X-linked recessive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突變導致的腎源性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SIADH(V2 receptor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，使腎臟對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ADH </w:t>
      </w:r>
      <w:r>
        <w:rPr>
          <w:rFonts w:ascii="微軟正黑體" w:eastAsia="微軟正黑體" w:hAnsi="微軟正黑體" w:cs="Calibri" w:hint="eastAsia"/>
          <w:sz w:val="22"/>
          <w:szCs w:val="22"/>
        </w:rPr>
        <w:t>的反應增強。</w:t>
      </w:r>
    </w:p>
    <w:p w:rsidR="00694E34" w:rsidRDefault="00694E34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低血鈉症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噁心想吐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意識混亂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肌肉無力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以上也是常見水中毒症狀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如果血鈉是逐漸下降的不一定會有臨床症狀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694E34" w:rsidRDefault="00694E34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低血容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同時具備以下特徵：</w:t>
      </w:r>
    </w:p>
    <w:p w:rsidR="00694E34" w:rsidRDefault="00694E34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135 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，伴隨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低血漿滲透壓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694E34" w:rsidRDefault="00694E34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尿液滲透壓高於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常見高於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300 mosmol/kg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尿鈉</w:t>
      </w:r>
      <w:r>
        <w:rPr>
          <w:rFonts w:ascii="微軟正黑體" w:eastAsia="微軟正黑體" w:hAnsi="微軟正黑體" w:cs="Calibri" w:hint="eastAsia"/>
          <w:sz w:val="22"/>
          <w:szCs w:val="22"/>
        </w:rPr>
        <w:t>濃度通常高於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40mEq/L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CSW </w:t>
      </w:r>
      <w:r>
        <w:rPr>
          <w:rFonts w:ascii="微軟正黑體" w:eastAsia="微軟正黑體" w:hAnsi="微軟正黑體" w:cs="Calibri" w:hint="eastAsia"/>
          <w:sz w:val="22"/>
          <w:szCs w:val="22"/>
        </w:rPr>
        <w:t>的診斷可能還需要觀察補充輸液後是否會導致尿液稀釋以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 SIADH(</w:t>
      </w:r>
      <w:r>
        <w:rPr>
          <w:rFonts w:ascii="微軟正黑體" w:eastAsia="微軟正黑體" w:hAnsi="微軟正黑體" w:cs="Calibri" w:hint="eastAsia"/>
          <w:sz w:val="22"/>
          <w:szCs w:val="22"/>
        </w:rPr>
        <w:t>但不是絕對可以</w:t>
      </w:r>
      <w:r>
        <w:rPr>
          <w:rFonts w:ascii="微軟正黑體" w:eastAsia="微軟正黑體" w:hAnsi="微軟正黑體" w:cs="Calibri" w:hint="eastAsia"/>
          <w:sz w:val="22"/>
          <w:szCs w:val="22"/>
        </w:rPr>
        <w:t>rule out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，目前仍有爭議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694E34" w:rsidRDefault="00694E34">
      <w:pPr>
        <w:numPr>
          <w:ilvl w:val="2"/>
          <w:numId w:val="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限水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694E34" w:rsidRDefault="00694E34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一天淨攝取量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500ml </w:t>
      </w:r>
      <w:r>
        <w:rPr>
          <w:rFonts w:ascii="微軟正黑體" w:eastAsia="微軟正黑體" w:hAnsi="微軟正黑體" w:cs="Calibri" w:hint="eastAsia"/>
          <w:sz w:val="22"/>
          <w:szCs w:val="22"/>
        </w:rPr>
        <w:t>或以下</w:t>
      </w:r>
    </w:p>
    <w:p w:rsidR="00694E34" w:rsidRDefault="00694E34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也可以算</w:t>
      </w:r>
      <w:r>
        <w:rPr>
          <w:rFonts w:ascii="微軟正黑體" w:eastAsia="微軟正黑體" w:hAnsi="微軟正黑體" w:cs="Calibri" w:hint="eastAsia"/>
          <w:sz w:val="22"/>
          <w:szCs w:val="22"/>
        </w:rPr>
        <w:t>I/O, O&gt;=I</w:t>
      </w:r>
      <w:r>
        <w:rPr>
          <w:rFonts w:ascii="微軟正黑體" w:eastAsia="微軟正黑體" w:hAnsi="微軟正黑體" w:cs="Calibri" w:hint="eastAsia"/>
          <w:sz w:val="22"/>
          <w:szCs w:val="22"/>
        </w:rPr>
        <w:t>可接受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Na&lt;130meq/L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給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3% Saline</w:t>
      </w:r>
      <w:r>
        <w:rPr>
          <w:rFonts w:ascii="微軟正黑體" w:eastAsia="微軟正黑體" w:hAnsi="微軟正黑體" w:cs="Calibri" w:hint="eastAsia"/>
          <w:sz w:val="22"/>
          <w:szCs w:val="22"/>
        </w:rPr>
        <w:t>直到</w:t>
      </w:r>
      <w:r>
        <w:rPr>
          <w:rFonts w:ascii="Cambria Math" w:eastAsia="Microsoft JhengHei Light" w:hAnsi="Cambria Math" w:cs="Cambria Math"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130meq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注意一天只能上升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</w:rPr>
        <w:t>8-12meq/L</w:t>
      </w:r>
      <w:r>
        <w:rPr>
          <w:rFonts w:ascii="微軟正黑體" w:eastAsia="微軟正黑體" w:hAnsi="微軟正黑體" w:cs="Calibri" w:hint="eastAsia"/>
          <w:sz w:val="22"/>
          <w:szCs w:val="22"/>
        </w:rPr>
        <w:t>，不然會造成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central pontine myelinolysis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住院病患才能給予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Vaptan</w:t>
      </w:r>
      <w:r>
        <w:rPr>
          <w:rFonts w:ascii="微軟正黑體" w:eastAsia="微軟正黑體" w:hAnsi="微軟正黑體" w:cs="Calibri" w:hint="eastAsia"/>
          <w:sz w:val="22"/>
          <w:szCs w:val="22"/>
        </w:rPr>
        <w:t>類藥物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可以監控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，給完需暫停限水</w:t>
      </w:r>
      <w:r>
        <w:rPr>
          <w:rFonts w:ascii="微軟正黑體" w:eastAsia="微軟正黑體" w:hAnsi="微軟正黑體" w:cs="Calibri" w:hint="eastAsia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</w:t>
      </w:r>
      <w:r>
        <w:rPr>
          <w:rFonts w:ascii="微軟正黑體" w:eastAsia="微軟正黑體" w:hAnsi="微軟正黑體" w:cs="Calibri" w:hint="eastAsia"/>
          <w:sz w:val="22"/>
          <w:szCs w:val="22"/>
        </w:rPr>
        <w:t>or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以上避免病人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fluid depletion</w:t>
      </w:r>
      <w:r>
        <w:rPr>
          <w:rFonts w:ascii="微軟正黑體" w:eastAsia="微軟正黑體" w:hAnsi="微軟正黑體" w:cs="Calibri" w:hint="eastAsia"/>
          <w:sz w:val="22"/>
          <w:szCs w:val="22"/>
        </w:rPr>
        <w:t>過頭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Demeclocycline 150-300mg</w:t>
      </w:r>
      <w:r>
        <w:rPr>
          <w:rFonts w:ascii="微軟正黑體" w:eastAsia="微軟正黑體" w:hAnsi="微軟正黑體" w:cs="Calibri" w:hint="eastAsia"/>
          <w:sz w:val="22"/>
          <w:szCs w:val="22"/>
        </w:rPr>
        <w:t>口服</w:t>
      </w:r>
    </w:p>
    <w:p w:rsidR="00694E34" w:rsidRDefault="00694E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Fludrocortisone 0.05-0.2mg</w:t>
      </w:r>
      <w:r>
        <w:rPr>
          <w:rFonts w:ascii="微軟正黑體" w:eastAsia="微軟正黑體" w:hAnsi="微軟正黑體" w:cs="Calibri" w:hint="eastAsia"/>
          <w:sz w:val="22"/>
          <w:szCs w:val="22"/>
        </w:rPr>
        <w:t>口服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小心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高血壓、低血鉀</w:t>
      </w:r>
      <w:r>
        <w:rPr>
          <w:rFonts w:ascii="微軟正黑體" w:eastAsia="微軟正黑體" w:hAnsi="微軟正黑體" w:cs="Calibri" w:hint="eastAsia"/>
          <w:sz w:val="22"/>
          <w:szCs w:val="22"/>
        </w:rPr>
        <w:t>等副作用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694E34" w:rsidRDefault="00694E34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694E34" w:rsidRDefault="00694E34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Reference:</w:t>
      </w:r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Connolly ES, Rabinstein AA, Carhuapoma JR, et al. Guidelines for the management of aneurysmal subarachnoid hemorrhage: a guideline for healthcare professionals from the American Heart Association/american Stroke Association. Stroke. 2012; 43(6): p.1711-1737. doi: 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10.1161/STR.0b013e3182587839</w:t>
        </w:r>
      </w:hyperlink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Bettinelli, A., Longoni, L., Tammaro, F., Far</w:t>
      </w:r>
      <w:r>
        <w:rPr>
          <w:rFonts w:ascii="微軟正黑體" w:eastAsia="微軟正黑體" w:hAnsi="微軟正黑體" w:cs="Calibri" w:hint="eastAsia"/>
          <w:sz w:val="22"/>
          <w:szCs w:val="22"/>
        </w:rPr>
        <w:t>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P. B., Garzoni, L., &amp; Bianchetti, M. G. (2012). Renal salt-wasting syndrome in children with intracranial disorders.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Pediatric Nephrology, 27</w:t>
      </w:r>
      <w:r>
        <w:rPr>
          <w:rFonts w:ascii="微軟正黑體" w:eastAsia="微軟正黑體" w:hAnsi="微軟正黑體" w:cs="Calibri" w:hint="eastAsia"/>
          <w:sz w:val="22"/>
          <w:szCs w:val="22"/>
        </w:rPr>
        <w:t>(5), 733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739.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https://doi.org/10.1007/s00467-011-2010-5</w:t>
        </w:r>
      </w:hyperlink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Spatenkova, V., Bradac, O., de Lacy, P., &amp; Skrabalek, P. (2015). Polyuria in relation to dysnatraemias in neurocritical care.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British Journal of Neurosurgery, 29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(5), 650.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https://doi.org/10.3109/02688697.2015.1070285</w:t>
        </w:r>
      </w:hyperlink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Singh, S., Bohn, D., Carlotti, A. P., Cusimano, M., Rutka, J. T., &amp; Halperin, M. L. (2002). Cerebral salt wasting: Truths, fallacies, theories, and challenges.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Critical Care Medicine, 30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(11), 2575.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https://doi.org/10.1097/01.CCM.0000035017.22495.55</w:t>
        </w:r>
      </w:hyperlink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Tenny S, Thorell W. Cerebral Salt Wasting Syndrome. [Updated 2023 Aug 28]. In: StatPearls [Internet]. Treasure Island (FL): StatPearls Publishing; 2025 Jan-. </w:t>
      </w:r>
      <w:r>
        <w:rPr>
          <w:rFonts w:ascii="微軟正黑體" w:eastAsia="微軟正黑體" w:hAnsi="微軟正黑體" w:cs="Calibri" w:hint="eastAsia"/>
          <w:color w:val="222222"/>
          <w:sz w:val="22"/>
          <w:szCs w:val="22"/>
          <w:shd w:val="clear" w:color="auto" w:fill="FFFFFF"/>
        </w:rPr>
        <w:t xml:space="preserve">Available from: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https://www.ncbi.nlm.nih.gov/books/NBK534855/</w:t>
        </w:r>
      </w:hyperlink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Robertson GL: Disorder of the Neurohyposis, Chap.404</w:t>
      </w:r>
    </w:p>
    <w:p w:rsidR="00694E34" w:rsidRDefault="00694E3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(2022). </w:t>
      </w:r>
      <w:r>
        <w:rPr>
          <w:rFonts w:ascii="微軟正黑體" w:eastAsia="微軟正黑體" w:hAnsi="微軟正黑體" w:cs="Calibri" w:hint="eastAsia"/>
          <w:color w:val="444444"/>
          <w:highlight w:val="yellow"/>
        </w:rPr>
        <w:t>Loscalzo J, &amp; Fauci A, &amp; Kasper D, &amp; Hauser S, &amp; Longo D, &amp; Jameson J(Eds.),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i/>
          <w:iCs/>
          <w:color w:val="444444"/>
          <w:highlight w:val="yellow"/>
        </w:rPr>
        <w:t>Harrison's Principles of Internal Medicine, 21e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McGraw-Hill Education. 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highlight w:val="yellow"/>
          </w:rPr>
          <w:t>https://accesspharmacy.mhmedical.com/content.aspx?bookid=3095&amp;sectionid=259856983</w:t>
        </w:r>
      </w:hyperlink>
    </w:p>
    <w:p w:rsidR="00694E34" w:rsidRDefault="00694E3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4E34" w:rsidRDefault="00694E3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4E34" w:rsidRDefault="00694E34" w:rsidP="00694E34">
      <w:r>
        <w:separator/>
      </w:r>
    </w:p>
  </w:endnote>
  <w:endnote w:type="continuationSeparator" w:id="0">
    <w:p w:rsidR="00694E34" w:rsidRDefault="00694E34" w:rsidP="0069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4E34" w:rsidRDefault="00694E34" w:rsidP="00694E34">
      <w:r>
        <w:separator/>
      </w:r>
    </w:p>
  </w:footnote>
  <w:footnote w:type="continuationSeparator" w:id="0">
    <w:p w:rsidR="00694E34" w:rsidRDefault="00694E34" w:rsidP="00694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0171"/>
    <w:multiLevelType w:val="multilevel"/>
    <w:tmpl w:val="B06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04271">
    <w:abstractNumId w:val="0"/>
  </w:num>
  <w:num w:numId="2" w16cid:durableId="358131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504919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34"/>
    <w:rsid w:val="004A4270"/>
    <w:rsid w:val="0069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02403B-CDC5-40BA-A453-A58E0928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94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4E3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94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4E3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467-011-2010-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x.doi.org/10.1161/STR.0b013e3182587839" TargetMode="External"/><Relationship Id="rId12" Type="http://schemas.openxmlformats.org/officeDocument/2006/relationships/hyperlink" Target="https://accesspharmacy.mhmedical.com/content.aspx?bookid=3095&amp;sectionid=259856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books/NBK53485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97/01.CCM.0000035017.22495.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109/02688697.2015.10702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