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1416" w:rsidRDefault="00A4141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子宮內膜增生</w:t>
      </w:r>
    </w:p>
    <w:p w:rsidR="00A41416" w:rsidRDefault="00A4141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41416" w:rsidRDefault="00A4141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A41416" w:rsidRDefault="00A4141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41416" w:rsidRDefault="00A41416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概述：定義與病理機轉</w:t>
      </w:r>
    </w:p>
    <w:p w:rsidR="00A41416" w:rsidRDefault="00A41416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子宮內膜增生（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Hyperplasia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：指</w:t>
      </w:r>
      <w:r>
        <w:rPr>
          <w:rFonts w:cs="Calibri" w:hint="eastAsia"/>
          <w:b/>
          <w:bCs/>
          <w:color w:val="E36C09"/>
          <w:sz w:val="22"/>
          <w:szCs w:val="22"/>
        </w:rPr>
        <w:t>內膜腺體過度增殖，導致腺體與間質比例增加</w:t>
      </w:r>
    </w:p>
    <w:p w:rsidR="00A41416" w:rsidRDefault="00A41416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病理機轉</w:t>
      </w:r>
      <w:r>
        <w:rPr>
          <w:rFonts w:cs="Calibri" w:hint="eastAsia"/>
          <w:color w:val="E36C09"/>
          <w:sz w:val="22"/>
          <w:szCs w:val="22"/>
        </w:rPr>
        <w:t>：</w:t>
      </w:r>
    </w:p>
    <w:p w:rsidR="00A41416" w:rsidRDefault="00A4141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主要因「長期雌激素暴露（</w:t>
      </w:r>
      <w:r>
        <w:rPr>
          <w:rFonts w:cs="Calibri" w:hint="eastAsia"/>
          <w:b/>
          <w:bCs/>
          <w:sz w:val="22"/>
          <w:szCs w:val="22"/>
        </w:rPr>
        <w:t>Unopposed Estrogen</w:t>
      </w:r>
      <w:r>
        <w:rPr>
          <w:rFonts w:cs="Calibri" w:hint="eastAsia"/>
          <w:b/>
          <w:bCs/>
          <w:sz w:val="22"/>
          <w:szCs w:val="22"/>
        </w:rPr>
        <w:t>）」導致</w:t>
      </w:r>
    </w:p>
    <w:p w:rsidR="00A41416" w:rsidRDefault="00A4141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缺乏黃體素（</w:t>
      </w:r>
      <w:r>
        <w:rPr>
          <w:rFonts w:cs="Calibri" w:hint="eastAsia"/>
          <w:b/>
          <w:bCs/>
          <w:color w:val="000000"/>
          <w:sz w:val="22"/>
          <w:szCs w:val="22"/>
        </w:rPr>
        <w:t>Progesterone</w:t>
      </w:r>
      <w:r>
        <w:rPr>
          <w:rFonts w:cs="Calibri" w:hint="eastAsia"/>
          <w:b/>
          <w:bCs/>
          <w:color w:val="000000"/>
          <w:sz w:val="22"/>
          <w:szCs w:val="22"/>
        </w:rPr>
        <w:t>）調控，使內膜持續增生，無法進入分泌期</w:t>
      </w:r>
    </w:p>
    <w:p w:rsidR="00A41416" w:rsidRDefault="00A4141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可能進展為子宮內膜癌（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Carcinoma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A41416" w:rsidRDefault="00A4141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A41416" w:rsidRDefault="00A4141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8"/>
        <w:gridCol w:w="5638"/>
      </w:tblGrid>
      <w:tr w:rsidR="00000000">
        <w:trPr>
          <w:divId w:val="27027130"/>
        </w:trPr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內生性（內源性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E2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過高）</w:t>
            </w:r>
          </w:p>
        </w:tc>
        <w:tc>
          <w:tcPr>
            <w:tcW w:w="6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to estrogen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7027130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外生性（雌激素補充）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w/o Progesterone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7027130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其他影響因素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Lynch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）、不孕症</w:t>
            </w:r>
          </w:p>
        </w:tc>
      </w:tr>
    </w:tbl>
    <w:p w:rsidR="00A41416" w:rsidRDefault="00A41416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</w:p>
    <w:p w:rsidR="00A41416" w:rsidRDefault="00A41416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外生性的常考在乳癌、子宮內膜癌</w:t>
      </w:r>
    </w:p>
    <w:p w:rsidR="00A41416" w:rsidRDefault="00A41416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考試陷阱：題目可能會描述「肥胖、</w:t>
      </w:r>
      <w:r>
        <w:rPr>
          <w:rFonts w:cs="Calibri" w:hint="eastAsia"/>
          <w:color w:val="000000"/>
          <w:sz w:val="22"/>
          <w:szCs w:val="22"/>
        </w:rPr>
        <w:t>PCOS</w:t>
      </w:r>
      <w:r>
        <w:rPr>
          <w:rFonts w:cs="Calibri" w:hint="eastAsia"/>
          <w:color w:val="000000"/>
          <w:sz w:val="22"/>
          <w:szCs w:val="22"/>
        </w:rPr>
        <w:t>、無合併</w:t>
      </w:r>
      <w:r>
        <w:rPr>
          <w:rFonts w:cs="Calibri" w:hint="eastAsia"/>
          <w:color w:val="000000"/>
          <w:sz w:val="22"/>
          <w:szCs w:val="22"/>
        </w:rPr>
        <w:t xml:space="preserve"> Progesterone 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 xml:space="preserve"> HRT</w:t>
      </w:r>
      <w:r>
        <w:rPr>
          <w:rFonts w:cs="Calibri" w:hint="eastAsia"/>
          <w:color w:val="000000"/>
          <w:sz w:val="22"/>
          <w:szCs w:val="22"/>
        </w:rPr>
        <w:t>」，暗示「高風險子宮內膜增生」</w:t>
      </w:r>
    </w:p>
    <w:p w:rsidR="00A41416" w:rsidRDefault="00A41416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A41416" w:rsidRDefault="00A4141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組織學特徵</w:t>
      </w:r>
    </w:p>
    <w:p w:rsidR="00A41416" w:rsidRDefault="00A41416">
      <w:pPr>
        <w:pStyle w:val="Web"/>
        <w:spacing w:before="0" w:beforeAutospacing="0" w:after="0" w:afterAutospacing="0"/>
        <w:rPr>
          <w:rFonts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</w:t>
      </w:r>
      <w:r>
        <w:rPr>
          <w:rFonts w:cs="Calibri" w:hint="eastAsia"/>
          <w:color w:val="F79646"/>
          <w:sz w:val="22"/>
          <w:szCs w:val="22"/>
        </w:rPr>
        <w:t>異型性（</w:t>
      </w:r>
      <w:r>
        <w:rPr>
          <w:rFonts w:cs="Calibri" w:hint="eastAsia"/>
          <w:color w:val="F79646"/>
          <w:sz w:val="22"/>
          <w:szCs w:val="22"/>
        </w:rPr>
        <w:t>Atypia</w:t>
      </w:r>
      <w:r>
        <w:rPr>
          <w:rFonts w:cs="Calibri" w:hint="eastAsia"/>
          <w:color w:val="F79646"/>
          <w:sz w:val="22"/>
          <w:szCs w:val="22"/>
        </w:rPr>
        <w:t>）為進展成癌症的關鍵風險因子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68"/>
        <w:gridCol w:w="2321"/>
        <w:gridCol w:w="1697"/>
      </w:tblGrid>
      <w:tr w:rsidR="00000000">
        <w:trPr>
          <w:divId w:val="215091988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進展為癌症的風險</w:t>
            </w:r>
          </w:p>
        </w:tc>
      </w:tr>
      <w:tr w:rsidR="00000000">
        <w:trPr>
          <w:divId w:val="215091988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腺體輕度增生，無異型性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1%</w:t>
            </w:r>
          </w:p>
        </w:tc>
      </w:tr>
      <w:tr w:rsidR="00000000">
        <w:trPr>
          <w:divId w:val="215091988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腺體結構高度擁擠，但無異型性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3-5%</w:t>
            </w:r>
          </w:p>
        </w:tc>
      </w:tr>
      <w:tr w:rsidR="00000000">
        <w:trPr>
          <w:divId w:val="215091988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腺體輕度增生，細胞異型性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8%</w:t>
            </w:r>
          </w:p>
        </w:tc>
      </w:tr>
      <w:tr w:rsidR="00000000">
        <w:trPr>
          <w:divId w:val="215091988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腺體結構擁擠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color w:val="000000"/>
                <w:sz w:val="22"/>
                <w:szCs w:val="22"/>
              </w:rPr>
              <w:t>細胞異型性</w:t>
            </w:r>
          </w:p>
        </w:tc>
        <w:tc>
          <w:tcPr>
            <w:tcW w:w="2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29%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（高度進展為癌症）</w:t>
            </w:r>
          </w:p>
        </w:tc>
      </w:tr>
    </w:tbl>
    <w:p w:rsidR="00A41416" w:rsidRDefault="00A4141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A41416" w:rsidRDefault="00A41416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A41416" w:rsidRDefault="00A41416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lastRenderedPageBreak/>
        <w:t>子宮內膜取樣（</w:t>
      </w:r>
      <w:r>
        <w:rPr>
          <w:rFonts w:cs="Calibri" w:hint="eastAsia"/>
          <w:b/>
          <w:bCs/>
          <w:color w:val="F79646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首選診斷方式</w:t>
      </w:r>
    </w:p>
    <w:p w:rsidR="00A41416" w:rsidRDefault="00A41416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>Transvaginal 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A41416" w:rsidRDefault="00A41416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停經後內膜厚度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&gt;4mm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進一步評估</w:t>
      </w:r>
    </w:p>
    <w:p w:rsidR="00A41416" w:rsidRDefault="00A41416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停經前若出現異常增厚或不規則內膜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需進一步檢查</w:t>
      </w:r>
    </w:p>
    <w:p w:rsidR="00A41416" w:rsidRDefault="00A41416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：可觀察到內膜病變，</w:t>
      </w:r>
      <w:r>
        <w:rPr>
          <w:rFonts w:cs="Calibri" w:hint="eastAsia"/>
          <w:color w:val="F79646"/>
          <w:sz w:val="22"/>
          <w:szCs w:val="22"/>
        </w:rPr>
        <w:t>但需合併切片確診</w:t>
      </w:r>
    </w:p>
    <w:p w:rsidR="00A41416" w:rsidRDefault="00A41416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color w:val="F79646"/>
          <w:sz w:val="22"/>
          <w:szCs w:val="22"/>
        </w:rPr>
        <w:t> </w:t>
      </w:r>
    </w:p>
    <w:p w:rsidR="00A41416" w:rsidRDefault="00A4141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57"/>
        <w:gridCol w:w="4015"/>
        <w:gridCol w:w="1314"/>
      </w:tblGrid>
      <w:tr w:rsidR="00000000">
        <w:trPr>
          <w:divId w:val="1223904542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標準治療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 w:rsidR="00000000">
        <w:trPr>
          <w:divId w:val="1223904542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無異型性的增生（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Simple/Complex Hyperplasia without Atypia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</w:t>
            </w:r>
            <w:r>
              <w:rPr>
                <w:rFonts w:hint="eastAsia"/>
                <w:color w:val="000000"/>
                <w:sz w:val="22"/>
                <w:szCs w:val="22"/>
              </w:rPr>
              <w:t>（如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Megestrol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LNG-IUD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監測內膜反應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6-12 </w:t>
            </w:r>
            <w:r>
              <w:rPr>
                <w:rFonts w:hint="eastAsia"/>
                <w:color w:val="000000"/>
                <w:sz w:val="22"/>
                <w:szCs w:val="22"/>
              </w:rPr>
              <w:t>個月）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可逆轉病變</w:t>
            </w:r>
          </w:p>
        </w:tc>
      </w:tr>
      <w:tr w:rsidR="00000000">
        <w:trPr>
          <w:divId w:val="1223904542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異型性增生（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建議全子宮切除（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Hysterectomy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若無生育需求，建議手術治療</w:t>
            </w:r>
          </w:p>
        </w:tc>
      </w:tr>
      <w:tr w:rsidR="00000000">
        <w:trPr>
          <w:divId w:val="1223904542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年輕或有生育需求的異型增生患者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治療（如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LNG-IUD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或口服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Medroxyprogesterone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定期內膜活檢追蹤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41416" w:rsidRDefault="00A4141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6-12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個月後未改善，建議手術</w:t>
            </w:r>
          </w:p>
        </w:tc>
      </w:tr>
    </w:tbl>
    <w:p w:rsidR="00A41416" w:rsidRDefault="00A41416">
      <w:pPr>
        <w:pStyle w:val="Web"/>
        <w:spacing w:before="0" w:beforeAutospacing="0" w:after="0" w:afterAutospacing="0"/>
        <w:rPr>
          <w:rFonts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重點補充</w:t>
      </w:r>
    </w:p>
    <w:p w:rsidR="00A41416" w:rsidRDefault="00A41416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Atypia</w:t>
      </w:r>
      <w:r>
        <w:rPr>
          <w:rFonts w:cs="Calibri" w:hint="eastAsia"/>
          <w:color w:val="000000"/>
          <w:sz w:val="22"/>
          <w:szCs w:val="22"/>
        </w:rPr>
        <w:t>的生育保留為治療重點</w:t>
      </w:r>
    </w:p>
    <w:p w:rsidR="00A41416" w:rsidRDefault="00A41416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無異型性（</w:t>
      </w:r>
      <w:r>
        <w:rPr>
          <w:rFonts w:cs="Calibri" w:hint="eastAsia"/>
          <w:color w:val="000000"/>
          <w:sz w:val="22"/>
          <w:szCs w:val="22"/>
        </w:rPr>
        <w:t>without Atypia</w:t>
      </w:r>
      <w:r>
        <w:rPr>
          <w:rFonts w:cs="Calibri" w:hint="eastAsia"/>
          <w:color w:val="000000"/>
          <w:sz w:val="22"/>
          <w:szCs w:val="22"/>
        </w:rPr>
        <w:t>）增生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通常可逆，</w:t>
      </w:r>
      <w:r>
        <w:rPr>
          <w:rFonts w:cs="Calibri" w:hint="eastAsia"/>
          <w:color w:val="000000"/>
          <w:sz w:val="22"/>
          <w:szCs w:val="22"/>
        </w:rPr>
        <w:t xml:space="preserve">Progesterone </w:t>
      </w:r>
      <w:r>
        <w:rPr>
          <w:rFonts w:cs="Calibri" w:hint="eastAsia"/>
          <w:color w:val="000000"/>
          <w:sz w:val="22"/>
          <w:szCs w:val="22"/>
        </w:rPr>
        <w:t>治療有效</w:t>
      </w:r>
    </w:p>
    <w:p w:rsidR="00A41416" w:rsidRDefault="00A41416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異型性增生（特別是</w:t>
      </w:r>
      <w:r>
        <w:rPr>
          <w:rFonts w:cs="Calibri" w:hint="eastAsia"/>
          <w:color w:val="000000"/>
          <w:sz w:val="22"/>
          <w:szCs w:val="22"/>
        </w:rPr>
        <w:t xml:space="preserve"> CAH</w:t>
      </w:r>
      <w:r>
        <w:rPr>
          <w:rFonts w:cs="Calibri" w:hint="eastAsia"/>
          <w:color w:val="000000"/>
          <w:sz w:val="22"/>
          <w:szCs w:val="22"/>
        </w:rPr>
        <w:t>）→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進展為子宮內膜癌（</w:t>
      </w:r>
      <w:r>
        <w:rPr>
          <w:rFonts w:cs="Calibri" w:hint="eastAsia"/>
          <w:color w:val="000000"/>
          <w:sz w:val="22"/>
          <w:szCs w:val="22"/>
        </w:rPr>
        <w:t>Endometrial Cancer</w:t>
      </w:r>
      <w:r>
        <w:rPr>
          <w:rFonts w:cs="Calibri" w:hint="eastAsia"/>
          <w:color w:val="000000"/>
          <w:sz w:val="22"/>
          <w:szCs w:val="22"/>
        </w:rPr>
        <w:t>）的風險高達</w:t>
      </w:r>
      <w:r>
        <w:rPr>
          <w:rFonts w:cs="Calibri" w:hint="eastAsia"/>
          <w:color w:val="000000"/>
          <w:sz w:val="22"/>
          <w:szCs w:val="22"/>
        </w:rPr>
        <w:t xml:space="preserve"> 29%</w:t>
      </w:r>
    </w:p>
    <w:p w:rsidR="00A41416" w:rsidRDefault="00A41416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肥胖、糖尿病、持續未治療的雌激素暴露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可能加速癌變</w:t>
      </w:r>
    </w:p>
    <w:p w:rsidR="00A41416" w:rsidRDefault="00A41416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1416" w:rsidRDefault="00A41416" w:rsidP="00A41416">
      <w:r>
        <w:separator/>
      </w:r>
    </w:p>
  </w:endnote>
  <w:endnote w:type="continuationSeparator" w:id="0">
    <w:p w:rsidR="00A41416" w:rsidRDefault="00A41416" w:rsidP="00A4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1416" w:rsidRDefault="00A41416" w:rsidP="00A41416">
      <w:r>
        <w:separator/>
      </w:r>
    </w:p>
  </w:footnote>
  <w:footnote w:type="continuationSeparator" w:id="0">
    <w:p w:rsidR="00A41416" w:rsidRDefault="00A41416" w:rsidP="00A4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550"/>
    <w:multiLevelType w:val="multilevel"/>
    <w:tmpl w:val="88F6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B60F7"/>
    <w:multiLevelType w:val="multilevel"/>
    <w:tmpl w:val="420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631DF"/>
    <w:multiLevelType w:val="multilevel"/>
    <w:tmpl w:val="0D7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4607E7"/>
    <w:multiLevelType w:val="multilevel"/>
    <w:tmpl w:val="9922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672FA"/>
    <w:multiLevelType w:val="multilevel"/>
    <w:tmpl w:val="1A6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4833398">
    <w:abstractNumId w:val="4"/>
  </w:num>
  <w:num w:numId="2" w16cid:durableId="407578183">
    <w:abstractNumId w:val="0"/>
  </w:num>
  <w:num w:numId="3" w16cid:durableId="1233348299">
    <w:abstractNumId w:val="2"/>
  </w:num>
  <w:num w:numId="4" w16cid:durableId="258948636">
    <w:abstractNumId w:val="3"/>
  </w:num>
  <w:num w:numId="5" w16cid:durableId="190213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16"/>
    <w:rsid w:val="00075002"/>
    <w:rsid w:val="00A4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35BFCD8-CE0E-4402-AF9D-ADCC7987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A414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141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414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41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