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28CC" w:rsidRDefault="007E28C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子宮鏡</w:t>
      </w:r>
    </w:p>
    <w:p w:rsidR="007E28CC" w:rsidRDefault="007E28C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7E28CC" w:rsidRDefault="007E28C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7E28CC" w:rsidRDefault="007E28CC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28CC" w:rsidRDefault="007E28CC">
      <w:pPr>
        <w:pStyle w:val="Web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子宮鏡概論＆注意事項</w:t>
      </w:r>
    </w:p>
    <w:p w:rsidR="007E28CC" w:rsidRDefault="007E28CC">
      <w:pPr>
        <w:numPr>
          <w:ilvl w:val="0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子宮內壓力</w:t>
      </w:r>
      <w:r>
        <w:rPr>
          <w:rFonts w:cs="Calibri" w:hint="eastAsia"/>
          <w:color w:val="000000"/>
          <w:sz w:val="22"/>
          <w:szCs w:val="22"/>
        </w:rPr>
        <w:t>&gt;MAP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>fluid absorption</w:t>
      </w:r>
      <w:r>
        <w:rPr>
          <w:rFonts w:cs="Calibri" w:hint="eastAsia"/>
          <w:color w:val="000000"/>
          <w:sz w:val="22"/>
          <w:szCs w:val="22"/>
        </w:rPr>
        <w:t>增加</w:t>
      </w:r>
      <w:r>
        <w:rPr>
          <w:rFonts w:ascii="Cambria Math" w:hAnsi="Cambria Math" w:cs="Calibri"/>
          <w:color w:val="000000"/>
          <w:sz w:val="22"/>
          <w:szCs w:val="22"/>
        </w:rPr>
        <w:t>⇒</w:t>
      </w:r>
      <w:r>
        <w:rPr>
          <w:rFonts w:cs="Calibri" w:hint="eastAsia"/>
          <w:b/>
          <w:bCs/>
          <w:color w:val="000000"/>
          <w:sz w:val="22"/>
          <w:szCs w:val="22"/>
        </w:rPr>
        <w:t>所以用生理食鹽水當介質，壓力不可</w:t>
      </w:r>
      <w:r>
        <w:rPr>
          <w:rFonts w:cs="Calibri" w:hint="eastAsia"/>
          <w:b/>
          <w:bCs/>
          <w:color w:val="000000"/>
          <w:sz w:val="22"/>
          <w:szCs w:val="22"/>
        </w:rPr>
        <w:t>&gt;MAP</w:t>
      </w:r>
    </w:p>
    <w:p w:rsidR="007E28CC" w:rsidRDefault="007E28C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大量低張容易吸收會造成水中毒→低血鈉、</w:t>
      </w:r>
      <w:r>
        <w:rPr>
          <w:rFonts w:cs="Calibri" w:hint="eastAsia"/>
          <w:color w:val="000000"/>
          <w:sz w:val="22"/>
          <w:szCs w:val="22"/>
        </w:rPr>
        <w:t>fluid overload</w:t>
      </w:r>
    </w:p>
    <w:p w:rsidR="007E28CC" w:rsidRDefault="007E28CC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子宮鏡僅能看見輸卵管的子宮開口處</w:t>
      </w:r>
    </w:p>
    <w:p w:rsidR="007E28CC" w:rsidRDefault="007E28CC">
      <w:pPr>
        <w:pStyle w:val="Web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子宮鏡的種類</w:t>
      </w:r>
    </w:p>
    <w:p w:rsidR="007E28CC" w:rsidRDefault="007E28CC">
      <w:pPr>
        <w:numPr>
          <w:ilvl w:val="0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診斷性子宮鏡（</w:t>
      </w:r>
      <w:r>
        <w:rPr>
          <w:rFonts w:cs="Calibri" w:hint="eastAsia"/>
          <w:color w:val="000000"/>
          <w:sz w:val="22"/>
          <w:szCs w:val="22"/>
        </w:rPr>
        <w:t>Diagnostic Hysteroscopy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7E28CC" w:rsidRDefault="007E28CC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手術性子宮鏡（</w:t>
      </w:r>
      <w:r>
        <w:rPr>
          <w:rFonts w:cs="Calibri" w:hint="eastAsia"/>
          <w:color w:val="000000"/>
          <w:sz w:val="22"/>
          <w:szCs w:val="22"/>
        </w:rPr>
        <w:t>Operative Hysteroscopy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7E28CC" w:rsidRDefault="007E28CC">
      <w:pPr>
        <w:pStyle w:val="3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子宮鏡併發症與處理</w:t>
      </w:r>
    </w:p>
    <w:p w:rsidR="007E28CC" w:rsidRDefault="007E28CC">
      <w:pPr>
        <w:numPr>
          <w:ilvl w:val="0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術中併發症</w:t>
      </w:r>
    </w:p>
    <w:p w:rsidR="007E28CC" w:rsidRDefault="007E28CC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子宮穿孔</w:t>
      </w:r>
    </w:p>
    <w:p w:rsidR="007E28CC" w:rsidRDefault="007E28CC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出血</w:t>
      </w:r>
    </w:p>
    <w:p w:rsidR="007E28CC" w:rsidRDefault="007E28CC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電解質失衡（如</w:t>
      </w:r>
      <w:r>
        <w:rPr>
          <w:rFonts w:cs="Calibri" w:hint="eastAsia"/>
          <w:color w:val="000000"/>
          <w:sz w:val="22"/>
          <w:szCs w:val="22"/>
        </w:rPr>
        <w:t xml:space="preserve"> TURP 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7E28CC" w:rsidRDefault="007E28CC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術後併發症</w:t>
      </w:r>
    </w:p>
    <w:p w:rsidR="007E28CC" w:rsidRDefault="007E28CC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感染（子宮內膜炎、骨盆腔炎）</w:t>
      </w:r>
    </w:p>
    <w:p w:rsidR="007E28CC" w:rsidRDefault="007E28CC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子宮腔沾粘</w:t>
      </w:r>
    </w:p>
    <w:p w:rsidR="007E28CC" w:rsidRDefault="007E28CC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子宮穿孔後的處置策略</w:t>
      </w:r>
    </w:p>
    <w:p w:rsidR="007E28CC" w:rsidRDefault="007E28CC">
      <w:pPr>
        <w:pStyle w:val="3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子宮鏡適應症與臨床應用</w:t>
      </w:r>
    </w:p>
    <w:p w:rsidR="007E28CC" w:rsidRDefault="007E28CC">
      <w:pPr>
        <w:numPr>
          <w:ilvl w:val="0"/>
          <w:numId w:val="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診斷性子宮鏡</w:t>
      </w:r>
    </w:p>
    <w:p w:rsidR="007E28CC" w:rsidRDefault="007E28CC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異常子宮出血（</w:t>
      </w:r>
      <w:r>
        <w:rPr>
          <w:rFonts w:cs="Calibri" w:hint="eastAsia"/>
          <w:color w:val="000000"/>
          <w:sz w:val="22"/>
          <w:szCs w:val="22"/>
        </w:rPr>
        <w:t>AUB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7E28CC" w:rsidRDefault="007E28CC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不孕症與反覆性流產的評估</w:t>
      </w:r>
    </w:p>
    <w:p w:rsidR="007E28CC" w:rsidRDefault="007E28CC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子宮內膜病變（如子宮內膜息肉、內膜增生）</w:t>
      </w:r>
    </w:p>
    <w:p w:rsidR="007E28CC" w:rsidRDefault="007E28CC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子宮內膜異位症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26"/>
        <w:gridCol w:w="4549"/>
      </w:tblGrid>
      <w:tr w:rsidR="00000000">
        <w:trPr>
          <w:divId w:val="1161652882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診斷性（檢查為主）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適應症</w:t>
            </w:r>
          </w:p>
        </w:tc>
      </w:tr>
      <w:tr w:rsidR="00000000">
        <w:trPr>
          <w:divId w:val="1161652882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懷疑子宮內有病灶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黏膜下肌瘤</w:t>
            </w:r>
          </w:p>
        </w:tc>
      </w:tr>
      <w:tr w:rsidR="00000000">
        <w:trPr>
          <w:divId w:val="1161652882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不明原因陰道異常出血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需進一步檢查確定病因</w:t>
            </w:r>
          </w:p>
        </w:tc>
      </w:tr>
      <w:tr w:rsidR="00000000">
        <w:trPr>
          <w:divId w:val="1161652882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試管嬰兒胚胎著床失敗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評估宮腔是否存在異常影響著床</w:t>
            </w:r>
          </w:p>
        </w:tc>
      </w:tr>
      <w:tr w:rsidR="00000000">
        <w:trPr>
          <w:divId w:val="1161652882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子宮內沾黏高危險群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多次人工流產、骨盆腔發炎、習慣性流產</w:t>
            </w:r>
          </w:p>
        </w:tc>
      </w:tr>
    </w:tbl>
    <w:p w:rsidR="007E28CC" w:rsidRDefault="007E28CC">
      <w:pPr>
        <w:pStyle w:val="Web"/>
        <w:spacing w:before="0" w:beforeAutospacing="0" w:after="0" w:afterAutospacing="0"/>
        <w:ind w:left="54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7E28CC" w:rsidRDefault="007E28CC">
      <w:pPr>
        <w:numPr>
          <w:ilvl w:val="0"/>
          <w:numId w:val="6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手術性子宮鏡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59"/>
        <w:gridCol w:w="5647"/>
      </w:tblGrid>
      <w:tr w:rsidR="00000000">
        <w:trPr>
          <w:divId w:val="1188326702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診斷性（手術）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適應症</w:t>
            </w:r>
          </w:p>
        </w:tc>
      </w:tr>
      <w:tr w:rsidR="00000000">
        <w:trPr>
          <w:divId w:val="1188326702"/>
        </w:trPr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黏膜下子宮肌瘤移除</w:t>
            </w:r>
          </w:p>
        </w:tc>
        <w:tc>
          <w:tcPr>
            <w:tcW w:w="5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適用於影響宮腔的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0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、部分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Type II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肌瘤</w:t>
            </w:r>
          </w:p>
        </w:tc>
      </w:tr>
      <w:tr w:rsidR="00000000">
        <w:trPr>
          <w:divId w:val="1188326702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子宮內異物移除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IUD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（子宮內避孕器）異常移位</w:t>
            </w:r>
          </w:p>
        </w:tc>
      </w:tr>
      <w:tr w:rsidR="00000000">
        <w:trPr>
          <w:divId w:val="1188326702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子宮息肉切除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移除子宮內膜增生性病灶</w:t>
            </w:r>
          </w:p>
        </w:tc>
      </w:tr>
      <w:tr w:rsidR="00000000">
        <w:trPr>
          <w:divId w:val="1188326702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中膈切開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針對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子宮中膈（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Septate Uterus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矯正</w:t>
            </w:r>
          </w:p>
        </w:tc>
      </w:tr>
      <w:tr w:rsidR="00000000">
        <w:trPr>
          <w:divId w:val="1188326702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沾黏分離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治療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Asherman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’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（宮腔沾黏）</w:t>
            </w:r>
          </w:p>
        </w:tc>
      </w:tr>
      <w:tr w:rsidR="00000000">
        <w:trPr>
          <w:divId w:val="1188326702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內膜燒灼</w:t>
            </w:r>
          </w:p>
        </w:tc>
        <w:tc>
          <w:tcPr>
            <w:tcW w:w="6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E28CC" w:rsidRDefault="007E28C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針對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異常子宮出血（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AUB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，如內膜增生或功能異常性出血</w:t>
            </w:r>
          </w:p>
        </w:tc>
      </w:tr>
    </w:tbl>
    <w:p w:rsidR="007E28CC" w:rsidRDefault="007E28CC">
      <w:pPr>
        <w:pStyle w:val="Web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7E28CC" w:rsidRDefault="007E28CC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28CC" w:rsidRDefault="007E28CC" w:rsidP="007E28CC">
      <w:r>
        <w:separator/>
      </w:r>
    </w:p>
  </w:endnote>
  <w:endnote w:type="continuationSeparator" w:id="0">
    <w:p w:rsidR="007E28CC" w:rsidRDefault="007E28CC" w:rsidP="007E2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28CC" w:rsidRDefault="007E28CC" w:rsidP="007E28CC">
      <w:r>
        <w:separator/>
      </w:r>
    </w:p>
  </w:footnote>
  <w:footnote w:type="continuationSeparator" w:id="0">
    <w:p w:rsidR="007E28CC" w:rsidRDefault="007E28CC" w:rsidP="007E2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577A3"/>
    <w:multiLevelType w:val="multilevel"/>
    <w:tmpl w:val="38F2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51541"/>
    <w:multiLevelType w:val="multilevel"/>
    <w:tmpl w:val="0474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47608D"/>
    <w:multiLevelType w:val="multilevel"/>
    <w:tmpl w:val="9D10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9505D8"/>
    <w:multiLevelType w:val="multilevel"/>
    <w:tmpl w:val="DF3A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105D3A"/>
    <w:multiLevelType w:val="multilevel"/>
    <w:tmpl w:val="A50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FB39A8"/>
    <w:multiLevelType w:val="multilevel"/>
    <w:tmpl w:val="2042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1060466">
    <w:abstractNumId w:val="0"/>
  </w:num>
  <w:num w:numId="2" w16cid:durableId="212930157">
    <w:abstractNumId w:val="1"/>
  </w:num>
  <w:num w:numId="3" w16cid:durableId="490145182">
    <w:abstractNumId w:val="2"/>
  </w:num>
  <w:num w:numId="4" w16cid:durableId="731462493">
    <w:abstractNumId w:val="4"/>
  </w:num>
  <w:num w:numId="5" w16cid:durableId="349718430">
    <w:abstractNumId w:val="3"/>
  </w:num>
  <w:num w:numId="6" w16cid:durableId="2127691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CC"/>
    <w:rsid w:val="002F21FB"/>
    <w:rsid w:val="007E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7C76A62-8423-45CF-B962-EEC4ABCA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E28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28C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E28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28C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65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