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D53C" w14:textId="77777777" w:rsidR="003435D4" w:rsidRDefault="003435D4" w:rsidP="003435D4">
      <w:pPr>
        <w:jc w:val="both"/>
        <w:rPr>
          <w:lang w:val="en-US"/>
        </w:rPr>
      </w:pPr>
      <w:r>
        <w:rPr>
          <w:lang w:val="en-US"/>
        </w:rPr>
        <w:t xml:space="preserve">Title: “Machine learning approach to predict antimicrobial resistance of </w:t>
      </w:r>
      <w:r w:rsidRPr="003435D4">
        <w:rPr>
          <w:i/>
          <w:iCs/>
          <w:lang w:val="en-US"/>
        </w:rPr>
        <w:t>Pseudomonas aeruginosa</w:t>
      </w:r>
      <w:r>
        <w:rPr>
          <w:lang w:val="en-US"/>
        </w:rPr>
        <w:t xml:space="preserve"> using whole genome sequencing data”</w:t>
      </w:r>
    </w:p>
    <w:p w14:paraId="5EA3D158" w14:textId="77777777" w:rsidR="001205D4" w:rsidRDefault="001205D4" w:rsidP="001205D4">
      <w:pPr>
        <w:jc w:val="both"/>
        <w:rPr>
          <w:lang w:val="en-US"/>
        </w:rPr>
      </w:pPr>
    </w:p>
    <w:p w14:paraId="025B986C" w14:textId="77777777" w:rsidR="001205D4" w:rsidRDefault="001205D4" w:rsidP="001205D4">
      <w:pPr>
        <w:jc w:val="both"/>
        <w:rPr>
          <w:lang w:val="en-US"/>
        </w:rPr>
      </w:pPr>
    </w:p>
    <w:p w14:paraId="08C5CD5F" w14:textId="55AE0546" w:rsidR="004B2846" w:rsidRPr="001205D4" w:rsidRDefault="00D23E63" w:rsidP="001205D4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>Combating antimicrobial resistance (AMR)</w:t>
      </w:r>
      <w:r w:rsidR="0067562A">
        <w:rPr>
          <w:lang w:val="en-US"/>
        </w:rPr>
        <w:t xml:space="preserve"> requires fast and reliable</w:t>
      </w:r>
      <w:r w:rsidR="00DD08DD">
        <w:rPr>
          <w:lang w:val="en-US"/>
        </w:rPr>
        <w:t xml:space="preserve"> antimicrobial</w:t>
      </w:r>
      <w:r w:rsidR="0067562A">
        <w:rPr>
          <w:lang w:val="en-US"/>
        </w:rPr>
        <w:t xml:space="preserve"> suscep</w:t>
      </w:r>
      <w:r w:rsidR="00DD08DD">
        <w:rPr>
          <w:lang w:val="en-US"/>
        </w:rPr>
        <w:t xml:space="preserve">tibility testing (AST) methods. This is hard to achieve with traditional approaches such as broth microdilution </w:t>
      </w:r>
      <w:r w:rsidR="00744BAF">
        <w:rPr>
          <w:lang w:val="en-US"/>
        </w:rPr>
        <w:t>because the turnaround time can take days</w:t>
      </w:r>
      <w:r>
        <w:rPr>
          <w:lang w:val="en-US"/>
        </w:rPr>
        <w:t xml:space="preserve">. </w:t>
      </w:r>
      <w:r w:rsidR="00DD08DD">
        <w:rPr>
          <w:lang w:val="en-US"/>
        </w:rPr>
        <w:t>Existing research have attempted</w:t>
      </w:r>
      <w:r>
        <w:rPr>
          <w:lang w:val="en-US"/>
        </w:rPr>
        <w:t xml:space="preserve"> </w:t>
      </w:r>
      <w:r w:rsidR="003F4A18">
        <w:rPr>
          <w:lang w:val="en-US"/>
        </w:rPr>
        <w:t>to use whole genome sequencing</w:t>
      </w:r>
      <w:r>
        <w:rPr>
          <w:lang w:val="en-US"/>
        </w:rPr>
        <w:t xml:space="preserve"> (WGS) data</w:t>
      </w:r>
      <w:r w:rsidR="003F4A18">
        <w:rPr>
          <w:lang w:val="en-US"/>
        </w:rPr>
        <w:t xml:space="preserve"> to predict</w:t>
      </w:r>
      <w:r w:rsidR="00DD08DD">
        <w:rPr>
          <w:lang w:val="en-US"/>
        </w:rPr>
        <w:t xml:space="preserve"> AMR as proof of principle for genome-based diagnostic</w:t>
      </w:r>
      <w:r>
        <w:rPr>
          <w:lang w:val="en-US"/>
        </w:rPr>
        <w:t>.</w:t>
      </w:r>
      <w:r w:rsidR="009C2FC1">
        <w:rPr>
          <w:lang w:val="en-US"/>
        </w:rPr>
        <w:t xml:space="preserve"> </w:t>
      </w:r>
      <w:r w:rsidR="00286826">
        <w:rPr>
          <w:lang w:val="en-US"/>
        </w:rPr>
        <w:t>In this</w:t>
      </w:r>
      <w:r w:rsidR="007539C9">
        <w:rPr>
          <w:lang w:val="en-US"/>
        </w:rPr>
        <w:t xml:space="preserve"> study</w:t>
      </w:r>
      <w:r w:rsidR="003F4A18">
        <w:rPr>
          <w:lang w:val="en-US"/>
        </w:rPr>
        <w:t>, we evaluate</w:t>
      </w:r>
      <w:r w:rsidR="002654BA">
        <w:rPr>
          <w:lang w:val="en-US"/>
        </w:rPr>
        <w:t>d</w:t>
      </w:r>
      <w:r w:rsidR="003F4A18">
        <w:rPr>
          <w:lang w:val="en-US"/>
        </w:rPr>
        <w:t xml:space="preserve"> various kind</w:t>
      </w:r>
      <w:r w:rsidR="00E7510C">
        <w:rPr>
          <w:lang w:val="en-US"/>
        </w:rPr>
        <w:t>s</w:t>
      </w:r>
      <w:r w:rsidR="003F4A18">
        <w:rPr>
          <w:lang w:val="en-US"/>
        </w:rPr>
        <w:t xml:space="preserve"> of machine learning models </w:t>
      </w:r>
      <w:r w:rsidR="00E7510C">
        <w:rPr>
          <w:lang w:val="en-US"/>
        </w:rPr>
        <w:t xml:space="preserve">to </w:t>
      </w:r>
      <w:r w:rsidR="009C2FC1">
        <w:rPr>
          <w:lang w:val="en-US"/>
        </w:rPr>
        <w:t>predict</w:t>
      </w:r>
      <w:r w:rsidR="004B2846">
        <w:rPr>
          <w:lang w:val="en-US"/>
        </w:rPr>
        <w:t xml:space="preserve"> resistant</w:t>
      </w:r>
      <w:r w:rsidR="009C2FC1">
        <w:rPr>
          <w:lang w:val="en-US"/>
        </w:rPr>
        <w:t xml:space="preserve"> phenotype of 1245 </w:t>
      </w:r>
      <w:proofErr w:type="spellStart"/>
      <w:proofErr w:type="gramStart"/>
      <w:r w:rsidR="009C2FC1" w:rsidRPr="009C2FC1">
        <w:rPr>
          <w:i/>
          <w:iCs/>
          <w:lang w:val="en-US"/>
        </w:rPr>
        <w:t>P</w:t>
      </w:r>
      <w:r w:rsidR="0073310F">
        <w:rPr>
          <w:i/>
          <w:iCs/>
          <w:lang w:val="en-US"/>
        </w:rPr>
        <w:t>.</w:t>
      </w:r>
      <w:r w:rsidR="009C2FC1" w:rsidRPr="009C2FC1">
        <w:rPr>
          <w:i/>
          <w:iCs/>
          <w:lang w:val="en-US"/>
        </w:rPr>
        <w:t>aeruginosa</w:t>
      </w:r>
      <w:proofErr w:type="spellEnd"/>
      <w:proofErr w:type="gramEnd"/>
      <w:r w:rsidR="009C2FC1">
        <w:rPr>
          <w:lang w:val="en-US"/>
        </w:rPr>
        <w:t xml:space="preserve"> isolates</w:t>
      </w:r>
      <w:r w:rsidR="00E7510C">
        <w:rPr>
          <w:lang w:val="en-US"/>
        </w:rPr>
        <w:t xml:space="preserve"> </w:t>
      </w:r>
      <w:r w:rsidR="009C2FC1">
        <w:rPr>
          <w:lang w:val="en-US"/>
        </w:rPr>
        <w:t>with respect to</w:t>
      </w:r>
      <w:r w:rsidR="00E7510C">
        <w:rPr>
          <w:lang w:val="en-US"/>
        </w:rPr>
        <w:t xml:space="preserve"> 10 antipseudomonal agents</w:t>
      </w:r>
      <w:r w:rsidR="004B2846">
        <w:rPr>
          <w:lang w:val="en-US"/>
        </w:rPr>
        <w:t xml:space="preserve"> (Figure 1)</w:t>
      </w:r>
      <w:r w:rsidR="00286826">
        <w:rPr>
          <w:lang w:val="en-US"/>
        </w:rPr>
        <w:t>.</w:t>
      </w:r>
      <w:r w:rsidR="008011F9">
        <w:rPr>
          <w:lang w:val="en-US"/>
        </w:rPr>
        <w:t xml:space="preserve"> The pathogen is known for complex AMR mechanisms</w:t>
      </w:r>
      <w:r w:rsidR="00DC26E5">
        <w:rPr>
          <w:lang w:val="en-US"/>
        </w:rPr>
        <w:t xml:space="preserve"> and has not been well studied in AMR prediction research.</w:t>
      </w:r>
      <w:r w:rsidR="002654BA">
        <w:rPr>
          <w:lang w:val="en-US"/>
        </w:rPr>
        <w:t xml:space="preserve"> </w:t>
      </w:r>
      <w:r w:rsidR="008011F9">
        <w:rPr>
          <w:lang w:val="en-US"/>
        </w:rPr>
        <w:t>Data</w:t>
      </w:r>
      <w:r w:rsidR="002654BA">
        <w:rPr>
          <w:lang w:val="en-US"/>
        </w:rPr>
        <w:t xml:space="preserve"> </w:t>
      </w:r>
      <w:r w:rsidR="008011F9">
        <w:rPr>
          <w:lang w:val="en-US"/>
        </w:rPr>
        <w:t>was</w:t>
      </w:r>
      <w:r w:rsidR="002654BA">
        <w:rPr>
          <w:lang w:val="en-US"/>
        </w:rPr>
        <w:t xml:space="preserve"> collected from</w:t>
      </w:r>
      <w:r w:rsidR="00310413">
        <w:rPr>
          <w:lang w:val="en-US"/>
        </w:rPr>
        <w:t xml:space="preserve"> both </w:t>
      </w:r>
      <w:r w:rsidR="002654BA">
        <w:rPr>
          <w:lang w:val="en-US"/>
        </w:rPr>
        <w:t>public datasets</w:t>
      </w:r>
      <w:r w:rsidR="00310413">
        <w:rPr>
          <w:lang w:val="en-US"/>
        </w:rPr>
        <w:t xml:space="preserve"> (1121)</w:t>
      </w:r>
      <w:r w:rsidR="002654BA">
        <w:rPr>
          <w:lang w:val="en-US"/>
        </w:rPr>
        <w:t xml:space="preserve"> and our </w:t>
      </w:r>
      <w:r w:rsidR="00310413">
        <w:rPr>
          <w:lang w:val="en-US"/>
        </w:rPr>
        <w:t>in-house database (124).</w:t>
      </w:r>
      <w:r w:rsidR="00074962">
        <w:rPr>
          <w:lang w:val="en-US"/>
        </w:rPr>
        <w:t xml:space="preserve"> In terms of feature engineering, the presence or absence of a gene from pan-genome analysis </w:t>
      </w:r>
      <w:r w:rsidR="007F470D">
        <w:rPr>
          <w:lang w:val="en-US"/>
        </w:rPr>
        <w:t>was used</w:t>
      </w:r>
      <w:r w:rsidR="00074962">
        <w:rPr>
          <w:lang w:val="en-US"/>
        </w:rPr>
        <w:t>.</w:t>
      </w:r>
      <w:r w:rsidR="007F470D">
        <w:rPr>
          <w:lang w:val="en-US"/>
        </w:rPr>
        <w:t xml:space="preserve"> After excluding genes being present in</w:t>
      </w:r>
      <w:r w:rsidR="008011F9">
        <w:rPr>
          <w:lang w:val="en-US"/>
        </w:rPr>
        <w:t xml:space="preserve"> either</w:t>
      </w:r>
      <w:r w:rsidR="007F470D">
        <w:rPr>
          <w:lang w:val="en-US"/>
        </w:rPr>
        <w:t xml:space="preserve"> all isolates or les</w:t>
      </w:r>
      <w:r w:rsidR="008011F9">
        <w:rPr>
          <w:lang w:val="en-US"/>
        </w:rPr>
        <w:t>s</w:t>
      </w:r>
      <w:r w:rsidR="007F470D">
        <w:rPr>
          <w:lang w:val="en-US"/>
        </w:rPr>
        <w:t xml:space="preserve"> than 5 isolates, we </w:t>
      </w:r>
      <w:r w:rsidR="008011F9">
        <w:rPr>
          <w:lang w:val="en-US"/>
        </w:rPr>
        <w:t>obtained</w:t>
      </w:r>
      <w:r w:rsidR="007F470D">
        <w:rPr>
          <w:lang w:val="en-US"/>
        </w:rPr>
        <w:t xml:space="preserve"> a feature set of 17</w:t>
      </w:r>
      <w:r w:rsidR="008011F9">
        <w:rPr>
          <w:lang w:val="en-US"/>
        </w:rPr>
        <w:t>485</w:t>
      </w:r>
      <w:r w:rsidR="007F470D">
        <w:rPr>
          <w:lang w:val="en-US"/>
        </w:rPr>
        <w:t xml:space="preserve"> gene</w:t>
      </w:r>
      <w:r w:rsidR="003435D4">
        <w:rPr>
          <w:lang w:val="en-US"/>
        </w:rPr>
        <w:t>s</w:t>
      </w:r>
      <w:r w:rsidR="007F470D">
        <w:rPr>
          <w:lang w:val="en-US"/>
        </w:rPr>
        <w:t>.</w:t>
      </w:r>
      <w:r w:rsidR="00286826">
        <w:rPr>
          <w:lang w:val="en-US"/>
        </w:rPr>
        <w:t xml:space="preserve"> </w:t>
      </w:r>
      <w:r w:rsidR="002654BA">
        <w:rPr>
          <w:lang w:val="en-US"/>
        </w:rPr>
        <w:t>The machine learning</w:t>
      </w:r>
      <w:r w:rsidR="00286826">
        <w:rPr>
          <w:lang w:val="en-US"/>
        </w:rPr>
        <w:t xml:space="preserve"> models are all binary classifier</w:t>
      </w:r>
      <w:r w:rsidR="002654BA">
        <w:rPr>
          <w:lang w:val="en-US"/>
        </w:rPr>
        <w:t>s</w:t>
      </w:r>
      <w:r w:rsidR="00286826">
        <w:rPr>
          <w:lang w:val="en-US"/>
        </w:rPr>
        <w:t>, including logistic regression (LR), support vector machine (SVM), random forest (RF), light gradient boosted machine (LGBM), wide and deep neural network (WDNN), and forest WDNN (</w:t>
      </w:r>
      <w:proofErr w:type="spellStart"/>
      <w:r w:rsidR="00286826">
        <w:rPr>
          <w:lang w:val="en-US"/>
        </w:rPr>
        <w:t>fWDNN</w:t>
      </w:r>
      <w:proofErr w:type="spellEnd"/>
      <w:r w:rsidR="00286826">
        <w:rPr>
          <w:lang w:val="en-US"/>
        </w:rPr>
        <w:t>).</w:t>
      </w:r>
      <w:r w:rsidR="007539C9">
        <w:rPr>
          <w:lang w:val="en-US"/>
        </w:rPr>
        <w:t xml:space="preserve"> The last</w:t>
      </w:r>
      <w:r w:rsidR="002654BA">
        <w:rPr>
          <w:lang w:val="en-US"/>
        </w:rPr>
        <w:t xml:space="preserve"> </w:t>
      </w:r>
      <w:r w:rsidR="00074962">
        <w:rPr>
          <w:lang w:val="en-US"/>
        </w:rPr>
        <w:t>one</w:t>
      </w:r>
      <w:r w:rsidR="002654BA">
        <w:rPr>
          <w:lang w:val="en-US"/>
        </w:rPr>
        <w:t xml:space="preserve"> is a modified version of WDNN</w:t>
      </w:r>
      <w:r w:rsidR="006D4C3B">
        <w:rPr>
          <w:lang w:val="en-US"/>
        </w:rPr>
        <w:t xml:space="preserve"> which feeds </w:t>
      </w:r>
      <w:r w:rsidR="002654BA">
        <w:rPr>
          <w:lang w:val="en-US"/>
        </w:rPr>
        <w:t>initial input into an array of decision trees to generate a preprocessed input</w:t>
      </w:r>
      <w:r w:rsidR="00074962">
        <w:rPr>
          <w:lang w:val="en-US"/>
        </w:rPr>
        <w:t xml:space="preserve"> layer </w:t>
      </w:r>
      <w:r w:rsidR="002654BA">
        <w:rPr>
          <w:lang w:val="en-US"/>
        </w:rPr>
        <w:t xml:space="preserve">for </w:t>
      </w:r>
      <w:r w:rsidR="006D4C3B">
        <w:rPr>
          <w:lang w:val="en-US"/>
        </w:rPr>
        <w:t>downstream</w:t>
      </w:r>
      <w:r w:rsidR="002654BA">
        <w:rPr>
          <w:lang w:val="en-US"/>
        </w:rPr>
        <w:t xml:space="preserve"> neural network layers. This implementation aims to address the “fat” data issue, indicating</w:t>
      </w:r>
      <w:r w:rsidR="00E66DEF">
        <w:rPr>
          <w:lang w:val="en-US"/>
        </w:rPr>
        <w:t xml:space="preserve"> that</w:t>
      </w:r>
      <w:r w:rsidR="002654BA">
        <w:rPr>
          <w:lang w:val="en-US"/>
        </w:rPr>
        <w:t xml:space="preserve"> feature size significantly outnumber</w:t>
      </w:r>
      <w:r w:rsidR="00E66DEF">
        <w:rPr>
          <w:lang w:val="en-US"/>
        </w:rPr>
        <w:t>s</w:t>
      </w:r>
      <w:r w:rsidR="002654BA">
        <w:rPr>
          <w:lang w:val="en-US"/>
        </w:rPr>
        <w:t xml:space="preserve"> sample size.</w:t>
      </w:r>
      <w:r w:rsidR="00DC26E5">
        <w:rPr>
          <w:lang w:val="en-US"/>
        </w:rPr>
        <w:t xml:space="preserve"> From the results</w:t>
      </w:r>
      <w:r w:rsidR="001F5CD0">
        <w:rPr>
          <w:lang w:val="en-US"/>
        </w:rPr>
        <w:t xml:space="preserve"> (Figure 2)</w:t>
      </w:r>
      <w:r w:rsidR="00DC26E5">
        <w:rPr>
          <w:lang w:val="en-US"/>
        </w:rPr>
        <w:t xml:space="preserve">, </w:t>
      </w:r>
      <w:r w:rsidR="00E66DEF">
        <w:rPr>
          <w:lang w:val="en-US"/>
        </w:rPr>
        <w:t xml:space="preserve">in </w:t>
      </w:r>
      <w:r w:rsidR="00942276">
        <w:rPr>
          <w:lang w:val="en-US"/>
        </w:rPr>
        <w:t xml:space="preserve">terms of area under </w:t>
      </w:r>
      <w:r w:rsidR="00942276" w:rsidRPr="006D4C3B">
        <w:rPr>
          <w:lang w:val="en-US"/>
        </w:rPr>
        <w:t xml:space="preserve">the </w:t>
      </w:r>
      <w:r w:rsidR="00942276" w:rsidRPr="001205D4">
        <w:rPr>
          <w:lang w:val="en-US"/>
        </w:rPr>
        <w:t>receiver operating curve (AUC), h</w:t>
      </w:r>
      <w:r w:rsidR="001F5CD0">
        <w:rPr>
          <w:lang w:val="en-US"/>
        </w:rPr>
        <w:t xml:space="preserve">ighest performance </w:t>
      </w:r>
      <w:r w:rsidR="005D09C5">
        <w:rPr>
          <w:lang w:val="en-US"/>
        </w:rPr>
        <w:t>was observed</w:t>
      </w:r>
      <w:r w:rsidR="001F5CD0">
        <w:rPr>
          <w:lang w:val="en-US"/>
        </w:rPr>
        <w:t xml:space="preserve"> </w:t>
      </w:r>
      <w:r w:rsidR="005D09C5">
        <w:rPr>
          <w:lang w:val="en-US"/>
        </w:rPr>
        <w:t>in</w:t>
      </w:r>
      <w:r w:rsidR="001F5CD0" w:rsidRPr="001205D4">
        <w:rPr>
          <w:lang w:val="en-US"/>
        </w:rPr>
        <w:t xml:space="preserve"> </w:t>
      </w:r>
      <w:r w:rsidR="001F5CD0" w:rsidRPr="001F5CD0">
        <w:rPr>
          <w:lang w:val="en-US"/>
        </w:rPr>
        <w:t>aminoglycosides</w:t>
      </w:r>
      <w:r w:rsidR="006D4C3B">
        <w:rPr>
          <w:lang w:val="en-US"/>
        </w:rPr>
        <w:t>. Inter-model variations were clearly spotted in combinations containing beta-lactamase inhibitor while curves tend to overlap in other medications.</w:t>
      </w:r>
      <w:r w:rsidR="002654BA">
        <w:rPr>
          <w:lang w:val="en-US"/>
        </w:rPr>
        <w:t xml:space="preserve"> </w:t>
      </w:r>
      <w:r w:rsidR="00074962">
        <w:rPr>
          <w:lang w:val="en-US"/>
        </w:rPr>
        <w:t>We furth</w:t>
      </w:r>
      <w:r w:rsidR="001205D4">
        <w:rPr>
          <w:lang w:val="en-US"/>
        </w:rPr>
        <w:t xml:space="preserve">er generated the list of 20 most important features </w:t>
      </w:r>
      <w:r w:rsidR="006A1237">
        <w:rPr>
          <w:lang w:val="en-US"/>
        </w:rPr>
        <w:t xml:space="preserve">from the </w:t>
      </w:r>
      <w:proofErr w:type="spellStart"/>
      <w:r w:rsidR="006A1237">
        <w:rPr>
          <w:lang w:val="en-US"/>
        </w:rPr>
        <w:t>lightGBM</w:t>
      </w:r>
      <w:proofErr w:type="spellEnd"/>
      <w:r w:rsidR="006A1237">
        <w:rPr>
          <w:lang w:val="en-US"/>
        </w:rPr>
        <w:t xml:space="preserve"> model</w:t>
      </w:r>
      <w:r w:rsidR="001205D4">
        <w:rPr>
          <w:lang w:val="en-US"/>
        </w:rPr>
        <w:t xml:space="preserve"> </w:t>
      </w:r>
      <w:r w:rsidR="00C12D65">
        <w:rPr>
          <w:lang w:val="en-US"/>
        </w:rPr>
        <w:t>(Figure 3)</w:t>
      </w:r>
      <w:r w:rsidR="003435D4">
        <w:rPr>
          <w:lang w:val="en-US"/>
        </w:rPr>
        <w:t>.</w:t>
      </w:r>
      <w:r w:rsidR="001205D4">
        <w:rPr>
          <w:lang w:val="en-US"/>
        </w:rPr>
        <w:t xml:space="preserve"> </w:t>
      </w:r>
      <w:r w:rsidR="003435D4">
        <w:rPr>
          <w:lang w:val="en-US"/>
        </w:rPr>
        <w:t>H</w:t>
      </w:r>
      <w:r w:rsidR="001205D4">
        <w:rPr>
          <w:lang w:val="en-US"/>
        </w:rPr>
        <w:t>owever,</w:t>
      </w:r>
      <w:r w:rsidR="00074962">
        <w:rPr>
          <w:lang w:val="en-US"/>
        </w:rPr>
        <w:t xml:space="preserve"> it is </w:t>
      </w:r>
      <w:r w:rsidR="001205D4">
        <w:rPr>
          <w:lang w:val="en-US"/>
        </w:rPr>
        <w:t>challenging</w:t>
      </w:r>
      <w:r w:rsidR="00074962">
        <w:rPr>
          <w:lang w:val="en-US"/>
        </w:rPr>
        <w:t xml:space="preserve"> to </w:t>
      </w:r>
      <w:r w:rsidR="001205D4">
        <w:rPr>
          <w:lang w:val="en-US"/>
        </w:rPr>
        <w:t>identify similar important</w:t>
      </w:r>
      <w:r w:rsidR="00C12D65">
        <w:rPr>
          <w:lang w:val="en-US"/>
        </w:rPr>
        <w:t xml:space="preserve"> feature</w:t>
      </w:r>
      <w:r w:rsidR="001205D4">
        <w:rPr>
          <w:lang w:val="en-US"/>
        </w:rPr>
        <w:t>s</w:t>
      </w:r>
      <w:r w:rsidR="00C12D65">
        <w:rPr>
          <w:lang w:val="en-US"/>
        </w:rPr>
        <w:t xml:space="preserve"> even with</w:t>
      </w:r>
      <w:r w:rsidR="001205D4">
        <w:rPr>
          <w:lang w:val="en-US"/>
        </w:rPr>
        <w:t xml:space="preserve"> drugs</w:t>
      </w:r>
      <w:r w:rsidR="00C12D65">
        <w:rPr>
          <w:lang w:val="en-US"/>
        </w:rPr>
        <w:t xml:space="preserve"> in the same class. </w:t>
      </w:r>
      <w:r w:rsidR="004D0AEF">
        <w:rPr>
          <w:lang w:val="en-US"/>
        </w:rPr>
        <w:t>Therefore, despite huge potentials, genome-based method using machine learning to predict AMR needs to be fine-tune</w:t>
      </w:r>
      <w:r w:rsidR="00391A35">
        <w:rPr>
          <w:lang w:val="en-US"/>
        </w:rPr>
        <w:t xml:space="preserve">d before it can be applied in clinical setting. We also suggest developing different pathogen-specific models, rather than a one-size-fit-all </w:t>
      </w:r>
      <w:r w:rsidR="00E66DEF">
        <w:rPr>
          <w:lang w:val="en-US"/>
        </w:rPr>
        <w:t>one</w:t>
      </w:r>
      <w:r w:rsidR="00391A35">
        <w:rPr>
          <w:lang w:val="en-US"/>
        </w:rPr>
        <w:t xml:space="preserve">. </w:t>
      </w:r>
    </w:p>
    <w:p w14:paraId="7DA74C94" w14:textId="1631B30B" w:rsidR="004B2846" w:rsidRDefault="004B2846" w:rsidP="00E7510C">
      <w:pPr>
        <w:shd w:val="clear" w:color="auto" w:fill="FFFFFF"/>
        <w:jc w:val="both"/>
        <w:rPr>
          <w:lang w:val="en-US"/>
        </w:rPr>
      </w:pPr>
    </w:p>
    <w:p w14:paraId="67FF9642" w14:textId="4C285440" w:rsidR="004B2846" w:rsidRDefault="0078580C" w:rsidP="0078580C">
      <w:pPr>
        <w:shd w:val="clear" w:color="auto" w:fill="FFFFFF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34EF8B" wp14:editId="302B1431">
            <wp:extent cx="4807713" cy="3393650"/>
            <wp:effectExtent l="0" t="0" r="571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69" cy="33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794A" w14:textId="1D550982" w:rsidR="004B2846" w:rsidRPr="00310413" w:rsidRDefault="004B2846" w:rsidP="00310413">
      <w:pPr>
        <w:jc w:val="center"/>
        <w:rPr>
          <w:lang w:val="en-US"/>
        </w:rPr>
      </w:pPr>
      <w:r>
        <w:rPr>
          <w:lang w:val="en-US"/>
        </w:rPr>
        <w:t xml:space="preserve">Figure 1. </w:t>
      </w:r>
      <w:r w:rsidR="00310413">
        <w:rPr>
          <w:lang w:val="en-US"/>
        </w:rPr>
        <w:t>AST</w:t>
      </w:r>
      <w:r>
        <w:rPr>
          <w:lang w:val="en-US"/>
        </w:rPr>
        <w:t xml:space="preserve"> </w:t>
      </w:r>
      <w:r w:rsidR="00310413">
        <w:rPr>
          <w:lang w:val="en-US"/>
        </w:rPr>
        <w:t>results</w:t>
      </w:r>
      <w:r>
        <w:rPr>
          <w:lang w:val="en-US"/>
        </w:rPr>
        <w:t xml:space="preserve"> </w:t>
      </w:r>
      <w:r w:rsidR="00310413">
        <w:rPr>
          <w:lang w:val="en-US"/>
        </w:rPr>
        <w:t xml:space="preserve">to </w:t>
      </w:r>
      <w:r>
        <w:rPr>
          <w:lang w:val="en-US"/>
        </w:rPr>
        <w:t>10 antipseudomonal agents.</w:t>
      </w:r>
      <w:r w:rsidR="00310413">
        <w:rPr>
          <w:lang w:val="en-US"/>
        </w:rPr>
        <w:t xml:space="preserve"> </w:t>
      </w:r>
      <w:r w:rsidR="0073310F">
        <w:rPr>
          <w:lang w:val="en-US"/>
        </w:rPr>
        <w:t>Phenotypic</w:t>
      </w:r>
      <w:r w:rsidR="00074962">
        <w:rPr>
          <w:lang w:val="en-US"/>
        </w:rPr>
        <w:t xml:space="preserve"> l</w:t>
      </w:r>
      <w:r w:rsidR="00310413">
        <w:rPr>
          <w:lang w:val="en-US"/>
        </w:rPr>
        <w:t xml:space="preserve">abels were converted from minimum inhibitory concentration values using The </w:t>
      </w:r>
      <w:r w:rsidR="00310413" w:rsidRPr="00310413">
        <w:rPr>
          <w:lang w:val="en-US"/>
        </w:rPr>
        <w:t xml:space="preserve">European Committee on Antimicrobial Susceptibility Testing </w:t>
      </w:r>
      <w:r w:rsidR="00310413">
        <w:rPr>
          <w:lang w:val="en-US"/>
        </w:rPr>
        <w:t>(EUCAST) v</w:t>
      </w:r>
      <w:r w:rsidR="001205D4">
        <w:rPr>
          <w:lang w:val="en-US"/>
        </w:rPr>
        <w:t>ersion</w:t>
      </w:r>
      <w:r w:rsidR="00310413">
        <w:rPr>
          <w:lang w:val="en-US"/>
        </w:rPr>
        <w:t xml:space="preserve"> 1</w:t>
      </w:r>
      <w:r w:rsidR="00074962">
        <w:rPr>
          <w:lang w:val="en-US"/>
        </w:rPr>
        <w:t>1</w:t>
      </w:r>
      <w:r w:rsidR="00310413">
        <w:rPr>
          <w:lang w:val="en-US"/>
        </w:rPr>
        <w:t xml:space="preserve"> guidelines.</w:t>
      </w:r>
    </w:p>
    <w:p w14:paraId="7179ED88" w14:textId="3C943ABE" w:rsidR="0078580C" w:rsidRDefault="0078580C" w:rsidP="00E7510C">
      <w:pPr>
        <w:shd w:val="clear" w:color="auto" w:fill="FFFFFF"/>
        <w:jc w:val="both"/>
        <w:rPr>
          <w:lang w:val="en-US"/>
        </w:rPr>
      </w:pPr>
    </w:p>
    <w:p w14:paraId="1D9E6D1B" w14:textId="5161687D" w:rsidR="0078580C" w:rsidRDefault="0078580C" w:rsidP="0078580C">
      <w:pPr>
        <w:shd w:val="clear" w:color="auto" w:fill="FFFFFF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F26DF6" wp14:editId="3689AC14">
            <wp:extent cx="3431356" cy="784310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245" cy="79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0E2C" w14:textId="13EEBAEF" w:rsidR="000C2D18" w:rsidRDefault="0078580C" w:rsidP="001205D4">
      <w:pPr>
        <w:shd w:val="clear" w:color="auto" w:fill="FFFFFF"/>
        <w:jc w:val="center"/>
        <w:rPr>
          <w:lang w:val="en-US"/>
        </w:rPr>
      </w:pPr>
      <w:r>
        <w:rPr>
          <w:lang w:val="en-US"/>
        </w:rPr>
        <w:t xml:space="preserve">Figure 2. Performance of machine learning models on AMR prediction with different </w:t>
      </w:r>
      <w:r w:rsidR="001205D4">
        <w:rPr>
          <w:lang w:val="en-US"/>
        </w:rPr>
        <w:t>evaluation</w:t>
      </w:r>
      <w:r>
        <w:rPr>
          <w:lang w:val="en-US"/>
        </w:rPr>
        <w:t xml:space="preserve"> metrics.</w:t>
      </w:r>
    </w:p>
    <w:p w14:paraId="20FF731C" w14:textId="77777777" w:rsidR="000C2D18" w:rsidRDefault="000C2D18" w:rsidP="000C2D18">
      <w:pPr>
        <w:shd w:val="clear" w:color="auto" w:fill="FFFFFF"/>
        <w:jc w:val="both"/>
        <w:rPr>
          <w:lang w:val="en-US"/>
        </w:rPr>
        <w:sectPr w:rsidR="000C2D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D89228E" w14:textId="77777777" w:rsidR="000C2D18" w:rsidRDefault="000C2D18" w:rsidP="000C2D18">
      <w:pPr>
        <w:shd w:val="clear" w:color="auto" w:fill="FFFFFF"/>
        <w:jc w:val="both"/>
        <w:rPr>
          <w:lang w:val="en-US"/>
        </w:rPr>
      </w:pPr>
    </w:p>
    <w:p w14:paraId="0F121228" w14:textId="6480D05B" w:rsidR="00E7510C" w:rsidRPr="00E7510C" w:rsidRDefault="000C2D18" w:rsidP="000C2D18">
      <w:pPr>
        <w:shd w:val="clear" w:color="auto" w:fill="FFFFFF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60E83" wp14:editId="14D19538">
            <wp:extent cx="8366290" cy="3346516"/>
            <wp:effectExtent l="0" t="0" r="3175" b="6350"/>
            <wp:docPr id="3" name="Picture 3" descr="Chart, bar chart, treemap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treemap chart, sunburst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733" cy="33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BF0" w14:textId="3CC4539E" w:rsidR="00074962" w:rsidRPr="003F4A18" w:rsidRDefault="00074962" w:rsidP="001205D4">
      <w:pPr>
        <w:jc w:val="center"/>
        <w:rPr>
          <w:lang w:val="en-US"/>
        </w:rPr>
      </w:pPr>
      <w:r>
        <w:rPr>
          <w:lang w:val="en-US"/>
        </w:rPr>
        <w:t>Figure 3.</w:t>
      </w:r>
      <w:r w:rsidR="000C2D18">
        <w:rPr>
          <w:lang w:val="en-US"/>
        </w:rPr>
        <w:t xml:space="preserve"> Top </w:t>
      </w:r>
      <w:r w:rsidR="00C12D65">
        <w:rPr>
          <w:lang w:val="en-US"/>
        </w:rPr>
        <w:t>2</w:t>
      </w:r>
      <w:r w:rsidR="000C2D18">
        <w:rPr>
          <w:lang w:val="en-US"/>
        </w:rPr>
        <w:t xml:space="preserve">0 most importance feature from the </w:t>
      </w:r>
      <w:proofErr w:type="spellStart"/>
      <w:r w:rsidR="000C2D18">
        <w:rPr>
          <w:lang w:val="en-US"/>
        </w:rPr>
        <w:t>lightGBM</w:t>
      </w:r>
      <w:proofErr w:type="spellEnd"/>
      <w:r w:rsidR="000C2D18">
        <w:rPr>
          <w:lang w:val="en-US"/>
        </w:rPr>
        <w:t xml:space="preserve"> model with respect to each antimicrobial agent.</w:t>
      </w:r>
    </w:p>
    <w:sectPr w:rsidR="00074962" w:rsidRPr="003F4A18" w:rsidSect="000C2D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18"/>
    <w:rsid w:val="00063F9E"/>
    <w:rsid w:val="00074962"/>
    <w:rsid w:val="000C2D18"/>
    <w:rsid w:val="001205D4"/>
    <w:rsid w:val="001F5CD0"/>
    <w:rsid w:val="002654BA"/>
    <w:rsid w:val="00286826"/>
    <w:rsid w:val="00310413"/>
    <w:rsid w:val="003435D4"/>
    <w:rsid w:val="00391A35"/>
    <w:rsid w:val="003F4A18"/>
    <w:rsid w:val="00420958"/>
    <w:rsid w:val="004B2846"/>
    <w:rsid w:val="004D0AEF"/>
    <w:rsid w:val="005B09DA"/>
    <w:rsid w:val="005D09C5"/>
    <w:rsid w:val="0067562A"/>
    <w:rsid w:val="006A1237"/>
    <w:rsid w:val="006D4C3B"/>
    <w:rsid w:val="006F003A"/>
    <w:rsid w:val="0073310F"/>
    <w:rsid w:val="00744BAF"/>
    <w:rsid w:val="007539C9"/>
    <w:rsid w:val="0078580C"/>
    <w:rsid w:val="007F470D"/>
    <w:rsid w:val="008011F9"/>
    <w:rsid w:val="008372DD"/>
    <w:rsid w:val="00942276"/>
    <w:rsid w:val="009961C9"/>
    <w:rsid w:val="009C2FC1"/>
    <w:rsid w:val="00BB211D"/>
    <w:rsid w:val="00C12D65"/>
    <w:rsid w:val="00D23E63"/>
    <w:rsid w:val="00D7418B"/>
    <w:rsid w:val="00DC26E5"/>
    <w:rsid w:val="00DD08DD"/>
    <w:rsid w:val="00E07CCD"/>
    <w:rsid w:val="00E53BF1"/>
    <w:rsid w:val="00E66DEF"/>
    <w:rsid w:val="00E7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2C3B8"/>
  <w15:chartTrackingRefBased/>
  <w15:docId w15:val="{47A4EC5F-A3E7-124F-89BF-EBD8209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2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3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Nguyen</dc:creator>
  <cp:keywords/>
  <dc:description/>
  <cp:lastModifiedBy>Hoai Nguyen</cp:lastModifiedBy>
  <cp:revision>18</cp:revision>
  <dcterms:created xsi:type="dcterms:W3CDTF">2022-03-22T08:48:00Z</dcterms:created>
  <dcterms:modified xsi:type="dcterms:W3CDTF">2022-03-22T13:18:00Z</dcterms:modified>
</cp:coreProperties>
</file>