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80" w:after="280"/>
        <w:rPr>
          <w:lang w:val="en-US" w:eastAsia="zh-CN"/>
        </w:rPr>
      </w:pPr>
      <w:r>
        <w:rPr>
          <w:lang w:val="en-US" w:eastAsia="zh-CN"/>
        </w:rPr>
        <w:t>ods</w:t>
      </w:r>
      <w:r>
        <w:rPr>
          <w:lang w:val="en-US" w:eastAsia="zh-CN"/>
        </w:rPr>
        <w:t>层接口规范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一交易主题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01</w:t>
      </w:r>
      <w:r>
        <w:rPr>
          <w:lang w:val="en-US" w:eastAsia="zh-CN"/>
        </w:rPr>
        <w:t>股票日线数据（</w:t>
      </w:r>
      <w:r>
        <w:rPr>
          <w:lang w:val="en-US" w:eastAsia="zh-CN"/>
        </w:rPr>
        <w:t>ods_tra_day_k</w:t>
      </w:r>
      <w:r>
        <w:rPr>
          <w:lang w:val="en-US" w:eastAsia="zh-CN"/>
        </w:rPr>
        <w:t>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ods_tra_day_k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陈瑜庆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20170627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每日增量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position w:val="0"/>
                <w:sz w:val="21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备注：本表保存近</w:t>
      </w:r>
      <w:r>
        <w:rPr>
          <w:lang w:val="en-US" w:eastAsia="zh-CN"/>
        </w:rPr>
        <w:t>10</w:t>
      </w:r>
      <w:r>
        <w:rPr>
          <w:lang w:val="en-US" w:eastAsia="zh-CN"/>
        </w:rPr>
        <w:t xml:space="preserve">年数据，数据量大约 </w:t>
      </w:r>
      <w:r>
        <w:rPr>
          <w:lang w:val="en-US" w:eastAsia="zh-CN"/>
        </w:rPr>
        <w:t>5000000</w:t>
      </w:r>
      <w:r>
        <w:rPr>
          <w:lang w:val="en-US" w:eastAsia="zh-CN"/>
        </w:rPr>
        <w:t>条记录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字段注释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字段解释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data_date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数据日期（索引）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开盘价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收盘价</w:t>
            </w:r>
          </w:p>
        </w:tc>
      </w:tr>
      <w:tr>
        <w:trPr>
          <w:trHeight w:val="90" w:hRule="atLeast"/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high_price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最高价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low_price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最低价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成交量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stock_code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股票代码（索引）和数据日期联合作为主键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0</w:t>
      </w:r>
      <w:r>
        <w:rPr>
          <w:lang w:val="en-US" w:eastAsia="zh-CN"/>
        </w:rPr>
        <w:t>2</w:t>
      </w:r>
      <w:r>
        <w:rPr>
          <w:lang w:val="en-US" w:eastAsia="zh-CN"/>
        </w:rPr>
        <w:t>股票周线数据（</w:t>
      </w:r>
      <w:r>
        <w:rPr>
          <w:lang w:val="en-US" w:eastAsia="zh-CN"/>
        </w:rPr>
        <w:t>ods_tra_week_k</w:t>
      </w:r>
      <w:r>
        <w:rPr>
          <w:lang w:val="en-US" w:eastAsia="zh-CN"/>
        </w:rPr>
        <w:t>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ods_tra_</w:t>
            </w:r>
            <w:r>
              <w:rPr>
                <w:lang w:val="en-US" w:eastAsia="zh-CN"/>
              </w:rPr>
              <w:t>week</w:t>
            </w:r>
            <w:r>
              <w:rPr>
                <w:lang w:val="en-US" w:eastAsia="zh-CN"/>
              </w:rPr>
              <w:t>_k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陈瑜庆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201706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30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每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周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增量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bookmarkStart w:id="1" w:name="_GoBack1"/>
            <w:bookmarkEnd w:id="1"/>
            <w:r>
              <w:rPr>
                <w:position w:val="0"/>
                <w:sz w:val="21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备注：本表保存近</w:t>
      </w:r>
      <w:r>
        <w:rPr>
          <w:lang w:val="en-US" w:eastAsia="zh-CN"/>
        </w:rPr>
        <w:t>10</w:t>
      </w:r>
      <w:r>
        <w:rPr>
          <w:lang w:val="en-US" w:eastAsia="zh-CN"/>
        </w:rPr>
        <w:t xml:space="preserve">年数据，数据量大约 </w:t>
      </w:r>
      <w:r>
        <w:rPr>
          <w:lang w:val="en-US" w:eastAsia="zh-CN"/>
        </w:rPr>
        <w:t>5000000</w:t>
      </w:r>
      <w:r>
        <w:rPr>
          <w:lang w:val="en-US" w:eastAsia="zh-CN"/>
        </w:rPr>
        <w:t>条记录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字段注释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399"/>
        <w:gridCol w:w="3226"/>
        <w:gridCol w:w="2130"/>
      </w:tblGrid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字段解释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data_date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数据日期（索引）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open_price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开盘价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close_price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收盘价</w:t>
            </w:r>
          </w:p>
        </w:tc>
      </w:tr>
      <w:tr>
        <w:trPr>
          <w:trHeight w:val="90" w:hRule="atLeast"/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high_price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最高价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low_price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最低价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volume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</w:pPr>
            <w:r>
              <w:rPr>
                <w:rFonts w:eastAsia="宋体" w:cs="宋体" w:ascii="宋体" w:hAnsi="宋体"/>
                <w:b w:val="false"/>
                <w:i w:val="false"/>
                <w:caps w:val="false"/>
                <w:smallCaps w:val="false"/>
                <w:color w:val="505050"/>
                <w:spacing w:val="0"/>
                <w:sz w:val="21"/>
                <w:szCs w:val="21"/>
                <w:shd w:fill="FFFFFF" w:val="clear"/>
              </w:rPr>
              <w:t>FLOAT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成交量</w:t>
            </w:r>
          </w:p>
        </w:tc>
      </w:tr>
      <w:tr>
        <w:trPr>
          <w:cantSplit w:val="false"/>
        </w:trPr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stock_code</w:t>
            </w:r>
          </w:p>
        </w:tc>
        <w:tc>
          <w:tcPr>
            <w:tcW w:w="3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股票代码（索引）和数据日期联合作为主键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二分类数据主题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01</w:t>
      </w:r>
      <w:r>
        <w:rPr>
          <w:lang w:val="en-US" w:eastAsia="zh-CN"/>
        </w:rPr>
        <w:t>行业分类信息表（</w:t>
      </w:r>
      <w:r>
        <w:rPr>
          <w:lang w:val="en-US" w:eastAsia="zh-CN"/>
        </w:rPr>
        <w:t>ods_</w:t>
      </w:r>
      <w:r>
        <w:rPr>
          <w:lang w:val="en-US" w:eastAsia="zh-CN"/>
        </w:rPr>
        <w:t>classified_</w:t>
      </w:r>
      <w:r>
        <w:rPr/>
        <w:t>industry</w:t>
      </w:r>
      <w:r>
        <w:rPr>
          <w:lang w:val="en-US" w:eastAsia="zh-CN"/>
        </w:rPr>
        <w:t>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ods_</w:t>
            </w:r>
            <w:r>
              <w:rPr>
                <w:lang w:val="en-US" w:eastAsia="zh-CN"/>
              </w:rPr>
              <w:t>classified_industry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陈瑜庆</w:t>
            </w:r>
          </w:p>
        </w:tc>
      </w:tr>
      <w:tr>
        <w:trPr>
          <w:trHeight w:val="310" w:hRule="atLeast"/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201706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30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每日全量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备注：只保留最新数据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字段解释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代码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名称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industry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所属行业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area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地区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市盈率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outstanding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流通股本</w:t>
            </w:r>
            <w:r>
              <w:rPr/>
              <w:t>(</w:t>
            </w:r>
            <w:r>
              <w:rPr/>
              <w:t>亿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totals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总股本</w:t>
            </w:r>
            <w:r>
              <w:rPr/>
              <w:t>(</w:t>
            </w:r>
            <w:r>
              <w:rPr/>
              <w:t>亿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totalAssets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总资产</w:t>
            </w:r>
            <w:r>
              <w:rPr/>
              <w:t>(</w:t>
            </w:r>
            <w:r>
              <w:rPr/>
              <w:t>万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liquidAssets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流动资产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fixedAssets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固定资产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公积金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reservedPerShare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每股公积金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esp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每股收益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bvps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每股净资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pb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市净率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timeToMarket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bigint(20)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上市日期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undp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未分利润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perundp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每股未分配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rev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收入同比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利润同比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gpr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毛利率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npr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净利润率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holders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bigint(20)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股东人数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三基本面数据主题</w:t>
      </w:r>
    </w:p>
    <w:p>
      <w:pPr>
        <w:pStyle w:val="3"/>
        <w:rPr>
          <w:lang w:val="en-US" w:eastAsia="zh-CN"/>
        </w:rPr>
      </w:pPr>
      <w:r>
        <w:rPr>
          <w:lang w:val="en-US" w:eastAsia="zh-CN"/>
        </w:rPr>
        <w:t>01</w:t>
      </w:r>
      <w:r>
        <w:rPr>
          <w:lang w:val="en-US" w:eastAsia="zh-CN"/>
        </w:rPr>
        <w:t>公司基本信息表（</w:t>
      </w:r>
      <w:r>
        <w:rPr>
          <w:lang w:val="en-US" w:eastAsia="zh-CN"/>
        </w:rPr>
        <w:t>ods_company_basic_info</w:t>
      </w:r>
      <w:r>
        <w:rPr>
          <w:lang w:val="en-US" w:eastAsia="zh-CN"/>
        </w:rPr>
        <w:t>）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7"/>
      </w:tblGrid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表格名称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lang w:val="en-US" w:eastAsia="zh-CN"/>
              </w:rPr>
            </w:pPr>
            <w:r>
              <w:rPr>
                <w:lang w:val="en-US" w:eastAsia="zh-CN"/>
              </w:rPr>
              <w:t>ods_company_basic_info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创建人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陈瑜庆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20170627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抽取方式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每日全量</w:t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存放脚本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</w:tr>
      <w:tr>
        <w:trPr>
          <w:cantSplit w:val="false"/>
        </w:trPr>
        <w:tc>
          <w:tcPr>
            <w:tcW w:w="2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6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ods_data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>备注：只保留最新数据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0"/>
      </w:tblGrid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5B9BD5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字段解释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code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代码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名称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industry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所属行业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area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varchar(63)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地区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市盈率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outstanding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流通股本</w:t>
            </w:r>
            <w:r>
              <w:rPr/>
              <w:t>(</w:t>
            </w:r>
            <w:r>
              <w:rPr/>
              <w:t>亿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totals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总股本</w:t>
            </w:r>
            <w:r>
              <w:rPr/>
              <w:t>(</w:t>
            </w:r>
            <w:r>
              <w:rPr/>
              <w:t>亿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totalAssets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总资产</w:t>
            </w:r>
            <w:r>
              <w:rPr/>
              <w:t>(</w:t>
            </w:r>
            <w:r>
              <w:rPr/>
              <w:t>万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liquidAssets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流动资产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fixedAssets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固定资产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reserved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公积金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reservedPerShare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每股公积金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esp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每股收益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bvps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每股净资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pb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市净率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timeToMarket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bigint(20)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上市日期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undp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未分利润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perundp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每股未分配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rev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收入同比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profit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利润同比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gpr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毛利率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npr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double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净利润率</w:t>
            </w:r>
            <w:r>
              <w:rPr/>
              <w:t>(%)</w:t>
            </w:r>
          </w:p>
        </w:tc>
      </w:tr>
      <w:tr>
        <w:trPr>
          <w:cantSplit w:val="false"/>
        </w:trPr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425" w:right="0" w:hanging="425"/>
              <w:jc w:val="both"/>
              <w:rPr>
                <w:position w:val="0"/>
                <w:sz w:val="20"/>
                <w:vertAlign w:val="baseline"/>
                <w:lang w:val="en-US" w:eastAsia="zh-CN"/>
              </w:rPr>
            </w:pPr>
            <w:r>
              <w:rPr>
                <w:position w:val="0"/>
                <w:sz w:val="20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jc w:val="both"/>
              <w:textAlignment w:val="center"/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eastAsia="宋体" w:cs="宋体" w:ascii="宋体" w:hAnsi="宋体"/>
                <w:i w:val="false"/>
                <w:color w:val="000000"/>
                <w:sz w:val="22"/>
                <w:szCs w:val="22"/>
                <w:u w:val="none"/>
                <w:lang w:val="en-US" w:eastAsia="zh-CN" w:bidi="ar"/>
              </w:rPr>
              <w:t>holders</w:t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bigint(20)</w:t>
            </w:r>
          </w:p>
        </w:tc>
        <w:tc>
          <w:tcPr>
            <w:tcW w:w="2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股东人数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四宏观经济主题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五投资参考主题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六龙虎榜主题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七银行间同业拆放利率主题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semiHidden="0"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qFormat="1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paragraph" w:styleId="1">
    <w:name w:val="标题 1"/>
    <w:uiPriority w:val="0"/>
    <w:qFormat/>
    <w:basedOn w:val="Normal"/>
    <w:pPr>
      <w:keepNext/>
      <w:keepLines/>
      <w:spacing w:lineRule="auto" w:line="576" w:before="280" w:after="280"/>
      <w:outlineLvl w:val="0"/>
    </w:pPr>
    <w:rPr>
      <w:b/>
      <w:sz w:val="44"/>
    </w:rPr>
  </w:style>
  <w:style w:type="paragraph" w:styleId="2">
    <w:name w:val="标题 2"/>
    <w:uiPriority w:val="0"/>
    <w:qFormat/>
    <w:unhideWhenUsed/>
    <w:basedOn w:val="Normal"/>
    <w:pPr>
      <w:keepNext/>
      <w:keepLines/>
      <w:spacing w:lineRule="auto" w:line="412" w:before="280" w:after="280"/>
      <w:outlineLvl w:val="1"/>
    </w:pPr>
    <w:rPr>
      <w:rFonts w:ascii="Arial" w:hAnsi="Arial" w:eastAsia="黑体"/>
      <w:b/>
      <w:sz w:val="32"/>
    </w:rPr>
  </w:style>
  <w:style w:type="paragraph" w:styleId="3">
    <w:name w:val="标题 3"/>
    <w:uiPriority w:val="0"/>
    <w:qFormat/>
    <w:unhideWhenUsed/>
    <w:basedOn w:val="Normal"/>
    <w:pPr>
      <w:keepNext/>
      <w:keepLines/>
      <w:spacing w:lineRule="auto" w:line="412" w:before="280" w:after="28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rPr/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/>
    <w:rPr/>
  </w:style>
  <w:style w:type="table" w:default="1" w:styleId="6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jc w:val="both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dc:language>zh-CN</dc:language>
  <cp:lastModifiedBy>user</cp:lastModifiedBy>
  <dcterms:modified xsi:type="dcterms:W3CDTF">2017-06-27T11:17:30Z</dcterms:modified>
  <cp:revision>0</cp:revision>
</cp:coreProperties>
</file>