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BA" w:rsidRDefault="00A558BA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How to enable XQuery 1.1 support in </w:t>
      </w:r>
      <w:proofErr w:type="spellStart"/>
      <w:r>
        <w:rPr>
          <w:rFonts w:ascii="Calibri" w:hAnsi="Calibri"/>
          <w:color w:val="C00000"/>
        </w:rPr>
        <w:t>oXygen</w:t>
      </w:r>
      <w:proofErr w:type="spellEnd"/>
      <w:r>
        <w:rPr>
          <w:rFonts w:ascii="Calibri" w:hAnsi="Calibri"/>
          <w:color w:val="C00000"/>
        </w:rPr>
        <w:t xml:space="preserve"> 14: Options -&gt; Preferences -&gt; XML -&gt; XQuery -&gt; </w:t>
      </w:r>
      <w:r w:rsidRPr="00A558BA">
        <w:rPr>
          <w:rFonts w:ascii="Calibri" w:hAnsi="Calibri"/>
          <w:color w:val="C00000"/>
        </w:rPr>
        <w:t>Saxon-HE/PE/EE</w:t>
      </w:r>
      <w:r>
        <w:rPr>
          <w:rFonts w:ascii="Calibri" w:hAnsi="Calibri"/>
          <w:color w:val="C00000"/>
        </w:rPr>
        <w:t xml:space="preserve"> -&gt;uncheck “Enable XQuery 3.0 support”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bookmarkStart w:id="0" w:name="_GoBack"/>
      <w:bookmarkEnd w:id="0"/>
      <w:r>
        <w:rPr>
          <w:rFonts w:ascii="Calibri" w:hAnsi="Calibri"/>
          <w:color w:val="C00000"/>
        </w:rPr>
        <w:t xml:space="preserve">In this document, we’re comparing three different dates. 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$atmudd10 is the year and month at which point the material will have been at </w:t>
      </w:r>
      <w:proofErr w:type="spellStart"/>
      <w:r>
        <w:rPr>
          <w:rFonts w:ascii="Calibri" w:hAnsi="Calibri"/>
          <w:color w:val="C00000"/>
        </w:rPr>
        <w:t>mudd</w:t>
      </w:r>
      <w:proofErr w:type="spellEnd"/>
      <w:r>
        <w:rPr>
          <w:rFonts w:ascii="Calibri" w:hAnsi="Calibri"/>
          <w:color w:val="C00000"/>
        </w:rPr>
        <w:t xml:space="preserve"> for 10 years. This is a static date, based in the date of accession.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$year20 is the date at which the material itself will be twenty years old. We use the last part of the normalized </w:t>
      </w:r>
      <w:proofErr w:type="spellStart"/>
      <w:r>
        <w:rPr>
          <w:rFonts w:ascii="Calibri" w:hAnsi="Calibri"/>
          <w:color w:val="C00000"/>
        </w:rPr>
        <w:t>unitdate</w:t>
      </w:r>
      <w:proofErr w:type="spellEnd"/>
      <w:r>
        <w:rPr>
          <w:rFonts w:ascii="Calibri" w:hAnsi="Calibri"/>
          <w:color w:val="C00000"/>
        </w:rPr>
        <w:t xml:space="preserve"> to determine this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$year30 is the date at which the material itself will be thirty years old. We use the last part of the normalized </w:t>
      </w:r>
      <w:proofErr w:type="spellStart"/>
      <w:r>
        <w:rPr>
          <w:rFonts w:ascii="Calibri" w:hAnsi="Calibri"/>
          <w:color w:val="C00000"/>
        </w:rPr>
        <w:t>unitdate</w:t>
      </w:r>
      <w:proofErr w:type="spellEnd"/>
      <w:r>
        <w:rPr>
          <w:rFonts w:ascii="Calibri" w:hAnsi="Calibri"/>
          <w:color w:val="C00000"/>
        </w:rPr>
        <w:t xml:space="preserve"> to determine this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The year that material comes open is based on the following idea: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If $year30 &lt; $</w:t>
      </w:r>
      <w:proofErr w:type="gramStart"/>
      <w:r>
        <w:rPr>
          <w:rFonts w:ascii="Calibri" w:hAnsi="Calibri"/>
          <w:color w:val="C00000"/>
        </w:rPr>
        <w:t>atmudd10 ,</w:t>
      </w:r>
      <w:proofErr w:type="gramEnd"/>
      <w:r>
        <w:rPr>
          <w:rFonts w:ascii="Calibri" w:hAnsi="Calibri"/>
          <w:color w:val="C00000"/>
        </w:rPr>
        <w:t xml:space="preserve"> material is open $year30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If $atmudd10 &gt; $</w:t>
      </w:r>
      <w:proofErr w:type="gramStart"/>
      <w:r>
        <w:rPr>
          <w:rFonts w:ascii="Calibri" w:hAnsi="Calibri"/>
          <w:color w:val="C00000"/>
        </w:rPr>
        <w:t>year20 ,</w:t>
      </w:r>
      <w:proofErr w:type="gramEnd"/>
      <w:r>
        <w:rPr>
          <w:rFonts w:ascii="Calibri" w:hAnsi="Calibri"/>
          <w:color w:val="C00000"/>
        </w:rPr>
        <w:t xml:space="preserve"> material is open $atmudd10</w:t>
      </w:r>
    </w:p>
    <w:p w:rsidR="002A2694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>If $year20 &gt; $atmudd10, material is open $year20</w:t>
      </w:r>
    </w:p>
    <w:p w:rsidR="002A2694" w:rsidRPr="004D5B7D" w:rsidRDefault="002A2694" w:rsidP="004D5B7D">
      <w:pPr>
        <w:spacing w:before="100" w:beforeAutospacing="1" w:after="100" w:afterAutospacing="1" w:line="240" w:lineRule="auto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In English, material is open when it’s thirty years old OR if It’s been at </w:t>
      </w:r>
      <w:proofErr w:type="spellStart"/>
      <w:r>
        <w:rPr>
          <w:rFonts w:ascii="Calibri" w:hAnsi="Calibri"/>
          <w:color w:val="C00000"/>
        </w:rPr>
        <w:t>mudd</w:t>
      </w:r>
      <w:proofErr w:type="spellEnd"/>
      <w:r>
        <w:rPr>
          <w:rFonts w:ascii="Calibri" w:hAnsi="Calibri"/>
          <w:color w:val="C00000"/>
        </w:rPr>
        <w:t xml:space="preserve"> for 10 years or is 20 years old, whichever is greater.</w:t>
      </w:r>
    </w:p>
    <w:p w:rsidR="00E306AE" w:rsidRDefault="00B84B8D" w:rsidP="00E306A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</w:rPr>
      </w:pPr>
      <w:r>
        <w:rPr>
          <w:rFonts w:ascii="Calibri" w:hAnsi="Calibri"/>
          <w:color w:val="1F497D"/>
        </w:rPr>
        <w:t xml:space="preserve">We made a policy decision that each component will be handled separately for the purposes of determining restrictions, allowing requests and paging. This means that in this collection, </w:t>
      </w:r>
      <w:proofErr w:type="spellStart"/>
      <w:r>
        <w:rPr>
          <w:rFonts w:ascii="Calibri" w:hAnsi="Calibri"/>
          <w:color w:val="1F497D"/>
        </w:rPr>
        <w:t>corpnames</w:t>
      </w:r>
      <w:proofErr w:type="spellEnd"/>
      <w:r>
        <w:rPr>
          <w:rFonts w:ascii="Calibri" w:hAnsi="Calibri"/>
          <w:color w:val="1F497D"/>
        </w:rPr>
        <w:t xml:space="preserve"> are assigned at the </w:t>
      </w:r>
      <w:proofErr w:type="spellStart"/>
      <w:r>
        <w:rPr>
          <w:rFonts w:ascii="Calibri" w:hAnsi="Calibri"/>
          <w:color w:val="1F497D"/>
        </w:rPr>
        <w:t>filegroup</w:t>
      </w:r>
      <w:proofErr w:type="spellEnd"/>
      <w:r>
        <w:rPr>
          <w:rFonts w:ascii="Calibri" w:hAnsi="Calibri"/>
          <w:color w:val="1F497D"/>
        </w:rPr>
        <w:t xml:space="preserve"> level, but there are subordinate components that each have their own </w:t>
      </w:r>
      <w:proofErr w:type="spellStart"/>
      <w:r>
        <w:rPr>
          <w:rFonts w:ascii="Calibri" w:hAnsi="Calibri"/>
          <w:color w:val="1F497D"/>
        </w:rPr>
        <w:t>unitdates</w:t>
      </w:r>
      <w:proofErr w:type="spellEnd"/>
      <w:r>
        <w:rPr>
          <w:rFonts w:ascii="Calibri" w:hAnsi="Calibri"/>
          <w:color w:val="1F497D"/>
        </w:rPr>
        <w:t xml:space="preserve"> (if they’re undated, we’ve determined that they may inherit their parent’s </w:t>
      </w:r>
      <w:proofErr w:type="spellStart"/>
      <w:r>
        <w:rPr>
          <w:rFonts w:ascii="Calibri" w:hAnsi="Calibri"/>
          <w:color w:val="1F497D"/>
        </w:rPr>
        <w:t>unitdate</w:t>
      </w:r>
      <w:proofErr w:type="spellEnd"/>
      <w:r>
        <w:rPr>
          <w:rFonts w:ascii="Calibri" w:hAnsi="Calibri"/>
          <w:color w:val="1F497D"/>
        </w:rPr>
        <w:t xml:space="preserve">). So we need to find each </w:t>
      </w:r>
      <w:proofErr w:type="spellStart"/>
      <w:r>
        <w:rPr>
          <w:rFonts w:ascii="Calibri" w:hAnsi="Calibri"/>
          <w:color w:val="1F497D"/>
        </w:rPr>
        <w:t>corpname</w:t>
      </w:r>
      <w:proofErr w:type="spellEnd"/>
      <w:r>
        <w:rPr>
          <w:rFonts w:ascii="Calibri" w:hAnsi="Calibri"/>
          <w:color w:val="1F497D"/>
        </w:rPr>
        <w:t xml:space="preserve"> in our list, and pull the subordinate components’ </w:t>
      </w:r>
      <w:proofErr w:type="spellStart"/>
      <w:r>
        <w:rPr>
          <w:rFonts w:ascii="Calibri" w:hAnsi="Calibri"/>
          <w:color w:val="1F497D"/>
        </w:rPr>
        <w:t>unitdates</w:t>
      </w:r>
      <w:proofErr w:type="spellEnd"/>
      <w:r>
        <w:rPr>
          <w:rFonts w:ascii="Calibri" w:hAnsi="Calibri"/>
          <w:color w:val="1F497D"/>
        </w:rPr>
        <w:t xml:space="preserve"> and then apply the function to do the date parsing.</w:t>
      </w:r>
    </w:p>
    <w:p w:rsidR="00E306AE" w:rsidRDefault="00E306AE" w:rsidP="00B84B8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sz w:val="36"/>
          <w:szCs w:val="36"/>
        </w:rPr>
      </w:pPr>
    </w:p>
    <w:p w:rsidR="00E306AE" w:rsidRPr="00E306AE" w:rsidRDefault="00E306AE" w:rsidP="00B84B8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sz w:val="36"/>
          <w:szCs w:val="36"/>
        </w:rPr>
      </w:pPr>
      <w:r w:rsidRPr="00E306AE">
        <w:rPr>
          <w:rFonts w:ascii="Calibri" w:eastAsia="Times New Roman" w:hAnsi="Calibri" w:cs="Times New Roman"/>
          <w:color w:val="1F497D"/>
          <w:sz w:val="36"/>
          <w:szCs w:val="36"/>
        </w:rPr>
        <w:t>Outline</w:t>
      </w:r>
    </w:p>
    <w:p w:rsidR="00B84B8D" w:rsidRPr="00B84B8D" w:rsidRDefault="00B84B8D" w:rsidP="00B84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4B8D">
        <w:rPr>
          <w:rFonts w:ascii="Calibri" w:eastAsia="Times New Roman" w:hAnsi="Calibri" w:cs="Times New Roman"/>
          <w:color w:val="1F497D"/>
        </w:rPr>
        <w:t>Unitdates</w:t>
      </w:r>
      <w:proofErr w:type="spellEnd"/>
    </w:p>
    <w:p w:rsidR="00B84B8D" w:rsidRPr="00B84B8D" w:rsidRDefault="00B84B8D" w:rsidP="00B84B8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B84B8D">
        <w:rPr>
          <w:rFonts w:ascii="Calibri" w:eastAsia="Times New Roman" w:hAnsi="Calibri" w:cs="Times New Roman"/>
          <w:color w:val="1F497D"/>
        </w:rPr>
        <w:t>Use normalized date, which may be in any of the following formats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YYYY/YYYY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YYYY-MM/YYYY-MM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YYYY-MM-DD/YYYY-MM-DD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lastRenderedPageBreak/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YYYY-MM-DD/YYYY-MM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YYYY-MM/YYYY-MM-DD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YYYY-MM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YYYY-MM-DD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B84B8D">
        <w:rPr>
          <w:rFonts w:ascii="Calibri" w:eastAsia="Times New Roman" w:hAnsi="Calibri" w:cs="Times New Roman"/>
          <w:color w:val="1F497D"/>
        </w:rPr>
        <w:t>Use most recent end of normalized date (just because of the nature of restrictions – we’re worried about the newer stuff getting out)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proofErr w:type="gramStart"/>
      <w:r w:rsidRPr="00B84B8D">
        <w:rPr>
          <w:rFonts w:ascii="Calibri" w:eastAsia="Times New Roman" w:hAnsi="Calibri" w:cs="Times New Roman"/>
          <w:color w:val="1F497D"/>
        </w:rPr>
        <w:t>For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 xml:space="preserve"> calculating when materials become open: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If we only have a year, add 31, 21, or 11 years to declare the year that the material comes open.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If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 xml:space="preserve"> /YYYY + 31 is less than or equal to 2013, material is open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Else</w:t>
      </w:r>
      <w:proofErr w:type="gramEnd"/>
    </w:p>
    <w:p w:rsidR="00B84B8D" w:rsidRPr="00B84B8D" w:rsidRDefault="00B84B8D" w:rsidP="00B84B8D">
      <w:p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B84B8D">
        <w:rPr>
          <w:rFonts w:ascii="Calibri" w:eastAsia="Times New Roman" w:hAnsi="Calibri" w:cs="Times New Roman"/>
          <w:color w:val="1F497D"/>
        </w:rPr>
        <w:t>If /YYYY + 31 is less than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proofErr w:type="gramStart"/>
      <w:r w:rsidRPr="00B84B8D">
        <w:rPr>
          <w:rFonts w:ascii="Calibri" w:eastAsia="Times New Roman" w:hAnsi="Calibri" w:cs="Times New Roman"/>
          <w:color w:val="1F497D"/>
        </w:rPr>
        <w:t>The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 xml:space="preserve"> greater value of either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/YYYY +21 or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2021-03 (series 1) or 2021-12 (series 2)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proofErr w:type="gramStart"/>
      <w:r w:rsidRPr="00B84B8D">
        <w:rPr>
          <w:rFonts w:ascii="Calibri" w:eastAsia="Times New Roman" w:hAnsi="Calibri" w:cs="Times New Roman"/>
          <w:color w:val="1F497D"/>
        </w:rPr>
        <w:t>The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 xml:space="preserve"> material will be open in /YYYY +31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Else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The material will be open in the greater value of either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43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/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>YYYY + 21 or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43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2021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>-03 (series 1) or 2021-12 (series 2)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If we have a year and month (and possibly day), add 30, 20, or 10 years to declare the month and year that the material comes open.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If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 xml:space="preserve"> /YYYY-MM(-DD) + 30 years is less than or equal to March 2013, material is open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Else</w:t>
      </w:r>
      <w:proofErr w:type="gramEnd"/>
    </w:p>
    <w:p w:rsidR="00B84B8D" w:rsidRPr="00B84B8D" w:rsidRDefault="00B84B8D" w:rsidP="00B84B8D">
      <w:p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B84B8D">
        <w:rPr>
          <w:rFonts w:ascii="Calibri" w:eastAsia="Times New Roman" w:hAnsi="Calibri" w:cs="Times New Roman"/>
          <w:color w:val="1F497D"/>
        </w:rPr>
        <w:t>If /YYYY-</w:t>
      </w:r>
      <w:proofErr w:type="gramStart"/>
      <w:r w:rsidRPr="00B84B8D">
        <w:rPr>
          <w:rFonts w:ascii="Calibri" w:eastAsia="Times New Roman" w:hAnsi="Calibri" w:cs="Times New Roman"/>
          <w:color w:val="1F497D"/>
        </w:rPr>
        <w:t>MM(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>-DD) + 30 years is less than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lastRenderedPageBreak/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proofErr w:type="gramStart"/>
      <w:r w:rsidRPr="00B84B8D">
        <w:rPr>
          <w:rFonts w:ascii="Calibri" w:eastAsia="Times New Roman" w:hAnsi="Calibri" w:cs="Times New Roman"/>
          <w:color w:val="1F497D"/>
        </w:rPr>
        <w:t>The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 xml:space="preserve"> greater value of either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/YYYY-MM(-DD) +20 years or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2021-03 (series 1) or 2021-12 (series 2)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Symbol" w:eastAsia="Times New Roman" w:hAnsi="Symbol" w:cs="Times New Roman"/>
          <w:color w:val="1F497D"/>
        </w:rPr>
        <w:t></w:t>
      </w:r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       </w:t>
      </w:r>
      <w:r w:rsidRPr="00B84B8D">
        <w:rPr>
          <w:rFonts w:ascii="Calibri" w:eastAsia="Times New Roman" w:hAnsi="Calibri" w:cs="Times New Roman"/>
          <w:color w:val="1F497D"/>
        </w:rPr>
        <w:t>The material will be open in /YYYY-</w:t>
      </w:r>
      <w:proofErr w:type="gramStart"/>
      <w:r w:rsidRPr="00B84B8D">
        <w:rPr>
          <w:rFonts w:ascii="Calibri" w:eastAsia="Times New Roman" w:hAnsi="Calibri" w:cs="Times New Roman"/>
          <w:color w:val="1F497D"/>
        </w:rPr>
        <w:t>MM(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>-DD) + 30 years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Else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B8D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  </w:t>
      </w:r>
      <w:r w:rsidRPr="00B84B8D">
        <w:rPr>
          <w:rFonts w:ascii="Calibri" w:eastAsia="Times New Roman" w:hAnsi="Calibri" w:cs="Times New Roman"/>
          <w:color w:val="1F497D"/>
        </w:rPr>
        <w:t>The material will be open in the greater value of either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43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/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>YYYY-MM(-DD) +20 years or</w:t>
      </w:r>
    </w:p>
    <w:p w:rsidR="00B84B8D" w:rsidRPr="00B84B8D" w:rsidRDefault="00B84B8D" w:rsidP="00B84B8D">
      <w:pPr>
        <w:spacing w:before="100" w:beforeAutospacing="1" w:after="100" w:afterAutospacing="1" w:line="240" w:lineRule="auto"/>
        <w:ind w:left="43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Wingdings" w:eastAsia="Times New Roman" w:hAnsi="Wingdings" w:cs="Times New Roman"/>
          <w:color w:val="1F497D"/>
        </w:rPr>
        <w:t></w:t>
      </w:r>
      <w:proofErr w:type="gramStart"/>
      <w:r w:rsidRPr="00B84B8D"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  </w:t>
      </w:r>
      <w:r w:rsidRPr="00B84B8D">
        <w:rPr>
          <w:rFonts w:ascii="Calibri" w:eastAsia="Times New Roman" w:hAnsi="Calibri" w:cs="Times New Roman"/>
          <w:color w:val="1F497D"/>
        </w:rPr>
        <w:t>2021</w:t>
      </w:r>
      <w:proofErr w:type="gramEnd"/>
      <w:r w:rsidRPr="00B84B8D">
        <w:rPr>
          <w:rFonts w:ascii="Calibri" w:eastAsia="Times New Roman" w:hAnsi="Calibri" w:cs="Times New Roman"/>
          <w:color w:val="1F497D"/>
        </w:rPr>
        <w:t>-03 (series 1) or 2021-12 (series 2)</w:t>
      </w:r>
    </w:p>
    <w:p w:rsidR="00B84B8D" w:rsidRPr="00B84B8D" w:rsidRDefault="00B84B8D" w:rsidP="00B84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B8D">
        <w:rPr>
          <w:rFonts w:ascii="Calibri" w:eastAsia="Times New Roman" w:hAnsi="Calibri" w:cs="Times New Roman"/>
          <w:color w:val="1F497D"/>
        </w:rPr>
        <w:t> </w:t>
      </w:r>
    </w:p>
    <w:p w:rsidR="00EB022B" w:rsidRDefault="00EB022B" w:rsidP="00EB022B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sz w:val="36"/>
          <w:szCs w:val="36"/>
        </w:rPr>
      </w:pPr>
      <w:r>
        <w:rPr>
          <w:rFonts w:ascii="Calibri" w:eastAsia="Times New Roman" w:hAnsi="Calibri" w:cs="Times New Roman"/>
          <w:color w:val="1F497D"/>
          <w:sz w:val="36"/>
          <w:szCs w:val="36"/>
        </w:rPr>
        <w:t xml:space="preserve">Examples (from </w:t>
      </w:r>
      <w:r w:rsidRPr="00E306AE">
        <w:rPr>
          <w:rFonts w:ascii="Calibri" w:eastAsia="Times New Roman" w:hAnsi="Calibri" w:cs="Times New Roman"/>
          <w:color w:val="1F497D"/>
          <w:sz w:val="36"/>
          <w:szCs w:val="36"/>
        </w:rPr>
        <w:t>MC001.04.EAD</w:t>
      </w:r>
      <w:r>
        <w:rPr>
          <w:rFonts w:ascii="Calibri" w:eastAsia="Times New Roman" w:hAnsi="Calibri" w:cs="Times New Roman"/>
          <w:color w:val="1F497D"/>
          <w:sz w:val="36"/>
          <w:szCs w:val="36"/>
        </w:rPr>
        <w:t>)</w:t>
      </w:r>
    </w:p>
    <w:tbl>
      <w:tblPr>
        <w:tblStyle w:val="TableGrid"/>
        <w:tblW w:w="10547" w:type="dxa"/>
        <w:tblInd w:w="-522" w:type="dxa"/>
        <w:tblLook w:val="04A0" w:firstRow="1" w:lastRow="0" w:firstColumn="1" w:lastColumn="0" w:noHBand="0" w:noVBand="1"/>
      </w:tblPr>
      <w:tblGrid>
        <w:gridCol w:w="1788"/>
        <w:gridCol w:w="1040"/>
        <w:gridCol w:w="888"/>
        <w:gridCol w:w="888"/>
        <w:gridCol w:w="888"/>
        <w:gridCol w:w="888"/>
        <w:gridCol w:w="888"/>
        <w:gridCol w:w="962"/>
        <w:gridCol w:w="1222"/>
        <w:gridCol w:w="1095"/>
      </w:tblGrid>
      <w:tr w:rsidR="00EB022B" w:rsidRPr="00E306AE" w:rsidTr="00EA2E4A">
        <w:trPr>
          <w:trHeight w:val="918"/>
        </w:trPr>
        <w:tc>
          <w:tcPr>
            <w:tcW w:w="17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Component id</w:t>
            </w:r>
          </w:p>
        </w:tc>
        <w:tc>
          <w:tcPr>
            <w:tcW w:w="1040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unitdate</w:t>
            </w:r>
            <w:proofErr w:type="spellEnd"/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enddate</w:t>
            </w:r>
            <w:proofErr w:type="spellEnd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 xml:space="preserve"> (if range)</w:t>
            </w: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+ 30 years</w:t>
            </w: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+ 20 years</w:t>
            </w: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 xml:space="preserve">In </w:t>
            </w:r>
            <w:proofErr w:type="spellStart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Mudd</w:t>
            </w:r>
            <w:proofErr w:type="spellEnd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 xml:space="preserve"> 10 years</w:t>
            </w: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20 or 10?</w:t>
            </w:r>
          </w:p>
        </w:tc>
        <w:tc>
          <w:tcPr>
            <w:tcW w:w="962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Date Open (undated)</w:t>
            </w:r>
          </w:p>
        </w:tc>
        <w:tc>
          <w:tcPr>
            <w:tcW w:w="1222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Parent Component</w:t>
            </w:r>
          </w:p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(did/</w:t>
            </w:r>
            <w:proofErr w:type="spellStart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unidate</w:t>
            </w:r>
            <w:proofErr w:type="spellEnd"/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)</w:t>
            </w:r>
          </w:p>
        </w:tc>
        <w:tc>
          <w:tcPr>
            <w:tcW w:w="1095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Date Open</w:t>
            </w:r>
          </w:p>
        </w:tc>
      </w:tr>
      <w:tr w:rsidR="00EB022B" w:rsidRPr="00E306AE" w:rsidTr="00EB022B">
        <w:trPr>
          <w:trHeight w:val="311"/>
        </w:trPr>
        <w:tc>
          <w:tcPr>
            <w:tcW w:w="17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MC001.04_c00004</w:t>
            </w:r>
          </w:p>
        </w:tc>
        <w:tc>
          <w:tcPr>
            <w:tcW w:w="1040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undated</w:t>
            </w: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888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962" w:type="dxa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1222" w:type="dxa"/>
            <w:shd w:val="clear" w:color="auto" w:fill="92D050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2022</w:t>
            </w:r>
          </w:p>
        </w:tc>
        <w:tc>
          <w:tcPr>
            <w:tcW w:w="1095" w:type="dxa"/>
            <w:shd w:val="clear" w:color="auto" w:fill="92D050"/>
            <w:noWrap/>
            <w:hideMark/>
          </w:tcPr>
          <w:p w:rsidR="00EB022B" w:rsidRPr="00EB022B" w:rsidRDefault="00EB022B" w:rsidP="00EA2E4A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B022B">
              <w:rPr>
                <w:rFonts w:ascii="Calibri" w:eastAsia="Times New Roman" w:hAnsi="Calibri" w:cs="Times New Roman"/>
                <w:sz w:val="18"/>
                <w:szCs w:val="18"/>
              </w:rPr>
              <w:t>2022</w:t>
            </w:r>
          </w:p>
        </w:tc>
      </w:tr>
      <w:tr w:rsidR="00EB022B" w:rsidRPr="00E306AE" w:rsidTr="00EB022B">
        <w:trPr>
          <w:trHeight w:val="311"/>
        </w:trPr>
        <w:tc>
          <w:tcPr>
            <w:tcW w:w="17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MC001.04_c00068</w:t>
            </w:r>
          </w:p>
        </w:tc>
        <w:tc>
          <w:tcPr>
            <w:tcW w:w="1040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1992 April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1992.04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2022.04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2012.04</w:t>
            </w:r>
          </w:p>
        </w:tc>
        <w:tc>
          <w:tcPr>
            <w:tcW w:w="888" w:type="dxa"/>
            <w:shd w:val="clear" w:color="auto" w:fill="92D050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2021.03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2021.03</w:t>
            </w:r>
          </w:p>
        </w:tc>
        <w:tc>
          <w:tcPr>
            <w:tcW w:w="962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2021.03</w:t>
            </w:r>
          </w:p>
        </w:tc>
        <w:tc>
          <w:tcPr>
            <w:tcW w:w="1222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2022</w:t>
            </w:r>
          </w:p>
        </w:tc>
        <w:tc>
          <w:tcPr>
            <w:tcW w:w="1095" w:type="dxa"/>
            <w:shd w:val="clear" w:color="auto" w:fill="92D050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2021.03</w:t>
            </w:r>
          </w:p>
        </w:tc>
      </w:tr>
      <w:tr w:rsidR="00EB022B" w:rsidRPr="00E306AE" w:rsidTr="00EB022B">
        <w:trPr>
          <w:trHeight w:val="311"/>
        </w:trPr>
        <w:tc>
          <w:tcPr>
            <w:tcW w:w="17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MC001.04_c00998</w:t>
            </w:r>
          </w:p>
        </w:tc>
        <w:tc>
          <w:tcPr>
            <w:tcW w:w="1040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1990 January - June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1990.06</w:t>
            </w:r>
          </w:p>
        </w:tc>
        <w:tc>
          <w:tcPr>
            <w:tcW w:w="888" w:type="dxa"/>
            <w:shd w:val="clear" w:color="auto" w:fill="92D050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2020.06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2010.06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2021.03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2021.03</w:t>
            </w:r>
          </w:p>
        </w:tc>
        <w:tc>
          <w:tcPr>
            <w:tcW w:w="962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2020.06</w:t>
            </w:r>
          </w:p>
        </w:tc>
        <w:tc>
          <w:tcPr>
            <w:tcW w:w="1222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2022</w:t>
            </w:r>
          </w:p>
        </w:tc>
        <w:tc>
          <w:tcPr>
            <w:tcW w:w="1095" w:type="dxa"/>
            <w:shd w:val="clear" w:color="auto" w:fill="92D050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2020.06</w:t>
            </w:r>
          </w:p>
        </w:tc>
      </w:tr>
      <w:tr w:rsidR="00EB022B" w:rsidRPr="00E306AE" w:rsidTr="00EB022B">
        <w:trPr>
          <w:trHeight w:val="311"/>
        </w:trPr>
        <w:tc>
          <w:tcPr>
            <w:tcW w:w="17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MC001.04_c01151</w:t>
            </w:r>
          </w:p>
        </w:tc>
        <w:tc>
          <w:tcPr>
            <w:tcW w:w="1040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2004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2004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2035</w:t>
            </w:r>
          </w:p>
        </w:tc>
        <w:tc>
          <w:tcPr>
            <w:tcW w:w="888" w:type="dxa"/>
            <w:shd w:val="clear" w:color="auto" w:fill="92D050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2025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2022</w:t>
            </w:r>
          </w:p>
        </w:tc>
        <w:tc>
          <w:tcPr>
            <w:tcW w:w="888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2025</w:t>
            </w:r>
          </w:p>
        </w:tc>
        <w:tc>
          <w:tcPr>
            <w:tcW w:w="962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2025</w:t>
            </w:r>
          </w:p>
        </w:tc>
        <w:tc>
          <w:tcPr>
            <w:tcW w:w="1222" w:type="dxa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2022</w:t>
            </w:r>
          </w:p>
        </w:tc>
        <w:tc>
          <w:tcPr>
            <w:tcW w:w="1095" w:type="dxa"/>
            <w:shd w:val="clear" w:color="auto" w:fill="92D050"/>
            <w:noWrap/>
          </w:tcPr>
          <w:p w:rsidR="00EB022B" w:rsidRPr="00EB022B" w:rsidRDefault="00EB022B" w:rsidP="00EA2E4A">
            <w:pPr>
              <w:rPr>
                <w:sz w:val="18"/>
                <w:szCs w:val="18"/>
              </w:rPr>
            </w:pPr>
            <w:r w:rsidRPr="00EB022B">
              <w:rPr>
                <w:sz w:val="18"/>
                <w:szCs w:val="18"/>
              </w:rPr>
              <w:t>2025</w:t>
            </w:r>
          </w:p>
        </w:tc>
      </w:tr>
    </w:tbl>
    <w:p w:rsidR="00BC0082" w:rsidRDefault="00BC0082"/>
    <w:sectPr w:rsidR="00BC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82"/>
    <w:rsid w:val="001D7C82"/>
    <w:rsid w:val="002005B7"/>
    <w:rsid w:val="002A2694"/>
    <w:rsid w:val="004D5B7D"/>
    <w:rsid w:val="004E60D8"/>
    <w:rsid w:val="00594FAF"/>
    <w:rsid w:val="00A558BA"/>
    <w:rsid w:val="00B84B8D"/>
    <w:rsid w:val="00BC0082"/>
    <w:rsid w:val="00CA21CC"/>
    <w:rsid w:val="00E306AE"/>
    <w:rsid w:val="00E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 Library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 Green</dc:creator>
  <cp:keywords/>
  <dc:description/>
  <cp:lastModifiedBy>Peter M Green</cp:lastModifiedBy>
  <cp:revision>9</cp:revision>
  <dcterms:created xsi:type="dcterms:W3CDTF">2013-05-15T19:41:00Z</dcterms:created>
  <dcterms:modified xsi:type="dcterms:W3CDTF">2013-05-16T20:29:00Z</dcterms:modified>
</cp:coreProperties>
</file>