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1EE5" w14:textId="0212F068" w:rsidR="002E54BF" w:rsidRDefault="00B979FC" w:rsidP="002E54BF">
      <w:pPr>
        <w:pStyle w:val="DHSHeadinglevel1"/>
      </w:pPr>
      <w:r>
        <w:t>Immunisation</w:t>
      </w:r>
    </w:p>
    <w:p w14:paraId="14D18E34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>To get a family payment for a child under 20 years of age, you need to make sure their immunisations are up to date.</w:t>
      </w:r>
    </w:p>
    <w:p w14:paraId="46491BB6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7DB8DF25" w14:textId="77777777" w:rsidR="00B979FC" w:rsidRPr="00E91574" w:rsidRDefault="00B979FC" w:rsidP="00B979FC">
      <w:pPr>
        <w:pStyle w:val="DHSHeadinglevel2"/>
      </w:pPr>
      <w:r w:rsidRPr="00E91574">
        <w:t>What payments are affected?</w:t>
      </w:r>
    </w:p>
    <w:p w14:paraId="385579F7" w14:textId="77777777" w:rsidR="00B979FC" w:rsidRPr="0051236F" w:rsidRDefault="00B979FC" w:rsidP="00B979F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highlight w:val="yellow"/>
          <w:lang w:val="en-GB"/>
        </w:rPr>
      </w:pPr>
      <w:r w:rsidRPr="0051236F">
        <w:rPr>
          <w:color w:val="000000"/>
          <w:highlight w:val="yellow"/>
          <w:lang w:val="en-GB"/>
        </w:rPr>
        <w:t>Child Care Benefit</w:t>
      </w:r>
    </w:p>
    <w:p w14:paraId="4234C562" w14:textId="77777777" w:rsidR="00B979FC" w:rsidRPr="00E91574" w:rsidRDefault="00B979FC" w:rsidP="00B979F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lang w:val="en-GB"/>
        </w:rPr>
      </w:pPr>
      <w:r w:rsidRPr="0051236F">
        <w:rPr>
          <w:color w:val="000000"/>
          <w:highlight w:val="yellow"/>
          <w:lang w:val="en-GB"/>
        </w:rPr>
        <w:t>Child Care Rebate</w:t>
      </w:r>
      <w:r w:rsidRPr="00E91574">
        <w:rPr>
          <w:color w:val="000000"/>
          <w:lang w:val="en-GB"/>
        </w:rPr>
        <w:t>, and</w:t>
      </w:r>
    </w:p>
    <w:p w14:paraId="7D851378" w14:textId="77777777" w:rsidR="00B979FC" w:rsidRPr="0051236F" w:rsidRDefault="00B979FC" w:rsidP="00B979FC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color w:val="000000"/>
          <w:highlight w:val="yellow"/>
          <w:lang w:val="en-GB"/>
        </w:rPr>
      </w:pPr>
      <w:r w:rsidRPr="0051236F">
        <w:rPr>
          <w:color w:val="000000"/>
          <w:highlight w:val="yellow"/>
          <w:lang w:val="en-GB"/>
        </w:rPr>
        <w:t>Family Tax Benefit Part A supplement</w:t>
      </w:r>
    </w:p>
    <w:p w14:paraId="7548DEBF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079644D8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These changes will also affect customers who </w:t>
      </w:r>
      <w:proofErr w:type="spellStart"/>
      <w:r w:rsidRPr="00E91574">
        <w:rPr>
          <w:color w:val="000000"/>
          <w:lang w:val="en-GB"/>
        </w:rPr>
        <w:t>claim</w:t>
      </w:r>
      <w:r w:rsidRPr="00E91574">
        <w:rPr>
          <w:rFonts w:ascii="Symbol" w:hAnsi="Symbol" w:cs="Symbol"/>
          <w:color w:val="000000"/>
          <w:lang w:val="en-GB"/>
        </w:rPr>
        <w:t></w:t>
      </w:r>
      <w:r w:rsidRPr="0051236F">
        <w:rPr>
          <w:color w:val="000000"/>
          <w:highlight w:val="yellow"/>
          <w:lang w:val="en-GB"/>
        </w:rPr>
        <w:t>Grandparent</w:t>
      </w:r>
      <w:proofErr w:type="spellEnd"/>
      <w:r w:rsidRPr="0051236F">
        <w:rPr>
          <w:color w:val="000000"/>
          <w:highlight w:val="yellow"/>
          <w:lang w:val="en-GB"/>
        </w:rPr>
        <w:t xml:space="preserve"> Child Care Benefit</w:t>
      </w:r>
      <w:r w:rsidRPr="00E91574">
        <w:rPr>
          <w:rFonts w:ascii="Symbol" w:hAnsi="Symbol" w:cs="Symbol"/>
          <w:color w:val="000000"/>
          <w:lang w:val="en-GB"/>
        </w:rPr>
        <w:t></w:t>
      </w:r>
      <w:r w:rsidRPr="00E91574">
        <w:rPr>
          <w:rFonts w:ascii="Symbol" w:hAnsi="Symbol" w:cs="Symbol"/>
          <w:color w:val="000000"/>
          <w:lang w:val="en-GB"/>
        </w:rPr>
        <w:t></w:t>
      </w:r>
      <w:r w:rsidRPr="0051236F">
        <w:rPr>
          <w:color w:val="000000"/>
          <w:highlight w:val="yellow"/>
          <w:lang w:val="en-GB"/>
        </w:rPr>
        <w:t>Special Child Care Benefit</w:t>
      </w:r>
      <w:r w:rsidRPr="00E91574">
        <w:rPr>
          <w:color w:val="000000"/>
          <w:lang w:val="en-GB"/>
        </w:rPr>
        <w:t xml:space="preserve"> or </w:t>
      </w:r>
      <w:r w:rsidRPr="0051236F">
        <w:rPr>
          <w:color w:val="000000"/>
          <w:highlight w:val="yellow"/>
          <w:lang w:val="en-GB"/>
        </w:rPr>
        <w:t>Jobs, Education and Training Child Care Fee Assistance</w:t>
      </w:r>
      <w:r w:rsidRPr="00E91574">
        <w:rPr>
          <w:color w:val="000000"/>
          <w:lang w:val="en-GB"/>
        </w:rPr>
        <w:t>.</w:t>
      </w:r>
    </w:p>
    <w:p w14:paraId="2ADBC4E6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4C1D6865" w14:textId="77777777" w:rsidR="00B979FC" w:rsidRPr="00E91574" w:rsidRDefault="00B979FC" w:rsidP="00B979FC">
      <w:pPr>
        <w:pStyle w:val="DHSHeadinglevel2"/>
      </w:pPr>
      <w:r w:rsidRPr="00E91574">
        <w:t>Why immunise?</w:t>
      </w:r>
    </w:p>
    <w:p w14:paraId="1F3AD76A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>Immunisation keeps you and your children healthy and safe from harmful diseases. It’s simple, safe and effective.</w:t>
      </w:r>
    </w:p>
    <w:p w14:paraId="2F66C67D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14D9801B" w14:textId="77777777" w:rsidR="00B979FC" w:rsidRPr="00E91574" w:rsidRDefault="00B979FC" w:rsidP="00B979FC">
      <w:pPr>
        <w:pStyle w:val="DHSHeadinglevel2"/>
      </w:pPr>
      <w:r w:rsidRPr="00E91574">
        <w:t>What do I need to do?</w:t>
      </w:r>
    </w:p>
    <w:p w14:paraId="7714455A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To meet the immunisation requirements, your child needs to: </w:t>
      </w:r>
    </w:p>
    <w:p w14:paraId="5FB57AB7" w14:textId="77777777" w:rsidR="00B979FC" w:rsidRPr="00E91574" w:rsidRDefault="00B979FC" w:rsidP="00B979FC">
      <w:pPr>
        <w:numPr>
          <w:ilvl w:val="0"/>
          <w:numId w:val="15"/>
        </w:num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>be up to date with their early childhood immunisations, or</w:t>
      </w:r>
    </w:p>
    <w:p w14:paraId="5031A369" w14:textId="77777777" w:rsidR="00B979FC" w:rsidRPr="00E91574" w:rsidRDefault="00B979FC" w:rsidP="00B979FC">
      <w:pPr>
        <w:numPr>
          <w:ilvl w:val="0"/>
          <w:numId w:val="15"/>
        </w:num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91574">
        <w:rPr>
          <w:color w:val="000000"/>
          <w:lang w:val="en-GB"/>
        </w:rPr>
        <w:t>have</w:t>
      </w:r>
      <w:proofErr w:type="gramEnd"/>
      <w:r w:rsidRPr="00E91574">
        <w:rPr>
          <w:color w:val="000000"/>
          <w:lang w:val="en-GB"/>
        </w:rPr>
        <w:t xml:space="preserve"> a medical exemption.</w:t>
      </w:r>
    </w:p>
    <w:p w14:paraId="1B56C053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6A1CE713" w14:textId="77777777" w:rsidR="00B979FC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We’ll check your child's immunisation details on the </w:t>
      </w:r>
      <w:r w:rsidRPr="0051236F">
        <w:rPr>
          <w:color w:val="000000"/>
          <w:highlight w:val="yellow"/>
          <w:lang w:val="en-GB"/>
        </w:rPr>
        <w:t>Australian Immunisation Register</w:t>
      </w:r>
      <w:r w:rsidRPr="00E91574">
        <w:rPr>
          <w:color w:val="000000"/>
          <w:lang w:val="en-GB"/>
        </w:rPr>
        <w:t xml:space="preserve"> using their </w:t>
      </w:r>
      <w:r w:rsidRPr="0051236F">
        <w:rPr>
          <w:color w:val="000000"/>
          <w:highlight w:val="yellow"/>
          <w:lang w:val="en-GB"/>
        </w:rPr>
        <w:t>Medicare</w:t>
      </w:r>
      <w:r w:rsidRPr="00E91574">
        <w:rPr>
          <w:color w:val="000000"/>
          <w:lang w:val="en-GB"/>
        </w:rPr>
        <w:t xml:space="preserve"> details. </w:t>
      </w:r>
    </w:p>
    <w:p w14:paraId="71D9A335" w14:textId="77777777" w:rsidR="00B979FC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45572A41" w14:textId="77777777" w:rsidR="00B979FC" w:rsidRPr="007B3489" w:rsidRDefault="00B979FC" w:rsidP="00B979FC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C</w:t>
      </w:r>
      <w:r w:rsidRPr="00E91574">
        <w:rPr>
          <w:lang w:val="en-GB"/>
        </w:rPr>
        <w:t xml:space="preserve">hildren who aren’t eligible to enrol in </w:t>
      </w:r>
      <w:r w:rsidRPr="0051236F">
        <w:rPr>
          <w:highlight w:val="yellow"/>
          <w:lang w:val="en-GB"/>
        </w:rPr>
        <w:t>Medicare</w:t>
      </w:r>
      <w:r w:rsidRPr="00E91574">
        <w:rPr>
          <w:lang w:val="en-GB"/>
        </w:rPr>
        <w:t xml:space="preserve"> </w:t>
      </w:r>
      <w:r>
        <w:rPr>
          <w:lang w:val="en-GB"/>
        </w:rPr>
        <w:t xml:space="preserve">will be added </w:t>
      </w:r>
      <w:r w:rsidRPr="00E91574">
        <w:rPr>
          <w:lang w:val="en-GB"/>
        </w:rPr>
        <w:t xml:space="preserve">to the </w:t>
      </w:r>
      <w:r w:rsidRPr="0051236F">
        <w:rPr>
          <w:highlight w:val="yellow"/>
          <w:lang w:val="en-GB"/>
        </w:rPr>
        <w:t>Immunisation Register</w:t>
      </w:r>
      <w:r w:rsidRPr="00E91574">
        <w:rPr>
          <w:lang w:val="en-GB"/>
        </w:rPr>
        <w:t xml:space="preserve"> when a vaccination provider (including a general practitioner) sends the details of a vaccination to the </w:t>
      </w:r>
      <w:r w:rsidRPr="0051236F">
        <w:rPr>
          <w:highlight w:val="yellow"/>
          <w:lang w:val="en-GB"/>
        </w:rPr>
        <w:t>Australian Immunisation Register</w:t>
      </w:r>
      <w:r w:rsidRPr="00E91574">
        <w:rPr>
          <w:lang w:val="en-GB"/>
        </w:rPr>
        <w:t>.</w:t>
      </w:r>
    </w:p>
    <w:p w14:paraId="3BFCDF26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6F097EFB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Talk to your general practitioner if there’s a medical reason why your child can’t be vaccinated. </w:t>
      </w:r>
    </w:p>
    <w:p w14:paraId="5A595CA4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3143EA5A" w14:textId="77777777" w:rsidR="00B979FC" w:rsidRPr="00E91574" w:rsidRDefault="00B979FC" w:rsidP="00B979FC">
      <w:pPr>
        <w:pStyle w:val="DHSHeadinglevel2"/>
      </w:pPr>
      <w:r w:rsidRPr="00E91574">
        <w:t>How do I know if my child is up to date with their immunisations?</w:t>
      </w:r>
    </w:p>
    <w:p w14:paraId="15825251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>
        <w:rPr>
          <w:color w:val="000000"/>
          <w:lang w:val="en-GB"/>
        </w:rPr>
        <w:t xml:space="preserve">You can check </w:t>
      </w:r>
      <w:r w:rsidRPr="00E91574">
        <w:rPr>
          <w:color w:val="000000"/>
          <w:lang w:val="en-GB"/>
        </w:rPr>
        <w:t>your child’s immunisation history statement using:</w:t>
      </w:r>
    </w:p>
    <w:p w14:paraId="439CBC2D" w14:textId="77777777" w:rsidR="00B979FC" w:rsidRPr="00E91574" w:rsidRDefault="00B979FC" w:rsidP="00B979FC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709" w:hanging="425"/>
        <w:rPr>
          <w:color w:val="000000"/>
          <w:lang w:val="en-GB"/>
        </w:rPr>
      </w:pPr>
      <w:proofErr w:type="gramStart"/>
      <w:r w:rsidRPr="00E91574">
        <w:rPr>
          <w:color w:val="000000"/>
          <w:lang w:val="en-GB"/>
        </w:rPr>
        <w:t>your</w:t>
      </w:r>
      <w:proofErr w:type="gramEnd"/>
      <w:r w:rsidRPr="00E91574">
        <w:rPr>
          <w:color w:val="000000"/>
          <w:lang w:val="en-GB"/>
        </w:rPr>
        <w:t xml:space="preserve"> </w:t>
      </w:r>
      <w:r w:rsidRPr="0051236F">
        <w:rPr>
          <w:color w:val="000000"/>
          <w:highlight w:val="yellow"/>
          <w:lang w:val="en-GB"/>
        </w:rPr>
        <w:t>Medicare</w:t>
      </w:r>
      <w:r w:rsidRPr="00E91574">
        <w:rPr>
          <w:color w:val="000000"/>
          <w:lang w:val="en-GB"/>
        </w:rPr>
        <w:t xml:space="preserve"> online account through </w:t>
      </w:r>
      <w:proofErr w:type="spellStart"/>
      <w:r w:rsidRPr="0051236F">
        <w:rPr>
          <w:color w:val="000000"/>
          <w:highlight w:val="yellow"/>
          <w:lang w:val="en-GB"/>
        </w:rPr>
        <w:t>myGov</w:t>
      </w:r>
      <w:proofErr w:type="spellEnd"/>
      <w:r w:rsidRPr="00E91574">
        <w:rPr>
          <w:color w:val="000000"/>
          <w:lang w:val="en-GB"/>
        </w:rPr>
        <w:t xml:space="preserve">. If you don’t have a </w:t>
      </w:r>
      <w:proofErr w:type="spellStart"/>
      <w:r w:rsidRPr="0051236F">
        <w:rPr>
          <w:color w:val="000000"/>
          <w:highlight w:val="yellow"/>
          <w:lang w:val="en-GB"/>
        </w:rPr>
        <w:t>myGov</w:t>
      </w:r>
      <w:proofErr w:type="spellEnd"/>
      <w:r w:rsidRPr="00E91574">
        <w:rPr>
          <w:color w:val="000000"/>
          <w:lang w:val="en-GB"/>
        </w:rPr>
        <w:t xml:space="preserve"> account, create one and link it to your </w:t>
      </w:r>
      <w:r w:rsidRPr="0051236F">
        <w:rPr>
          <w:color w:val="000000"/>
          <w:highlight w:val="yellow"/>
          <w:lang w:val="en-GB"/>
        </w:rPr>
        <w:t>Medicare</w:t>
      </w:r>
      <w:r w:rsidRPr="00E91574">
        <w:rPr>
          <w:color w:val="000000"/>
          <w:lang w:val="en-GB"/>
        </w:rPr>
        <w:t xml:space="preserve"> online account</w:t>
      </w:r>
    </w:p>
    <w:p w14:paraId="6EEBE083" w14:textId="77777777" w:rsidR="00B979FC" w:rsidRPr="00E91574" w:rsidRDefault="00B979FC" w:rsidP="00B979FC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709" w:hanging="425"/>
        <w:rPr>
          <w:color w:val="000000"/>
          <w:lang w:val="en-GB"/>
        </w:rPr>
      </w:pPr>
      <w:proofErr w:type="gramStart"/>
      <w:r w:rsidRPr="00E91574">
        <w:rPr>
          <w:color w:val="000000"/>
          <w:lang w:val="en-GB"/>
        </w:rPr>
        <w:t>the</w:t>
      </w:r>
      <w:proofErr w:type="gramEnd"/>
      <w:r w:rsidRPr="00E91574">
        <w:rPr>
          <w:color w:val="000000"/>
          <w:lang w:val="en-GB"/>
        </w:rPr>
        <w:t xml:space="preserve"> </w:t>
      </w:r>
      <w:r w:rsidRPr="0051236F">
        <w:rPr>
          <w:color w:val="000000"/>
          <w:highlight w:val="yellow"/>
          <w:lang w:val="en-GB"/>
        </w:rPr>
        <w:t>Express Plus Medicare</w:t>
      </w:r>
      <w:r w:rsidRPr="0051236F">
        <w:rPr>
          <w:color w:val="000000"/>
          <w:lang w:val="en-GB"/>
        </w:rPr>
        <w:t xml:space="preserve"> mobile app</w:t>
      </w:r>
      <w:r w:rsidRPr="00E91574">
        <w:rPr>
          <w:color w:val="000000"/>
          <w:lang w:val="en-GB"/>
        </w:rPr>
        <w:t xml:space="preserve">. If you don’t have the app, download it from the </w:t>
      </w:r>
      <w:r w:rsidRPr="0051236F">
        <w:rPr>
          <w:color w:val="000000"/>
          <w:highlight w:val="yellow"/>
          <w:lang w:val="en-GB"/>
        </w:rPr>
        <w:t>App Store, Google Play™</w:t>
      </w:r>
      <w:r w:rsidRPr="00E91574">
        <w:rPr>
          <w:color w:val="000000"/>
          <w:lang w:val="en-GB"/>
        </w:rPr>
        <w:t xml:space="preserve"> and selected </w:t>
      </w:r>
      <w:r w:rsidRPr="0051236F">
        <w:rPr>
          <w:color w:val="000000"/>
          <w:highlight w:val="yellow"/>
          <w:lang w:val="en-GB"/>
        </w:rPr>
        <w:t>Windows 10</w:t>
      </w:r>
      <w:r w:rsidRPr="00E91574">
        <w:rPr>
          <w:color w:val="000000"/>
          <w:lang w:val="en-GB"/>
        </w:rPr>
        <w:t xml:space="preserve"> mobile devices and desktops. </w:t>
      </w:r>
    </w:p>
    <w:p w14:paraId="6A10FD72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12543374" w14:textId="77777777" w:rsidR="0051236F" w:rsidRDefault="0051236F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28D7E1FF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lastRenderedPageBreak/>
        <w:t>Individuals 14 years of age or older can access their immunisation history statement:</w:t>
      </w:r>
    </w:p>
    <w:p w14:paraId="7D05B678" w14:textId="4346A48F" w:rsidR="00B979FC" w:rsidRPr="00E91574" w:rsidRDefault="00B979FC" w:rsidP="00B979F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using or creating their own </w:t>
      </w:r>
      <w:r w:rsidRPr="0051236F">
        <w:rPr>
          <w:color w:val="000000"/>
          <w:highlight w:val="yellow"/>
          <w:lang w:val="en-GB"/>
        </w:rPr>
        <w:t>Medicare</w:t>
      </w:r>
      <w:r w:rsidRPr="00E91574">
        <w:rPr>
          <w:color w:val="000000"/>
          <w:lang w:val="en-GB"/>
        </w:rPr>
        <w:t xml:space="preserve"> online account through </w:t>
      </w:r>
      <w:proofErr w:type="spellStart"/>
      <w:r w:rsidRPr="0051236F">
        <w:rPr>
          <w:color w:val="000000"/>
          <w:highlight w:val="yellow"/>
          <w:lang w:val="en-GB"/>
        </w:rPr>
        <w:t>myGov</w:t>
      </w:r>
      <w:proofErr w:type="spellEnd"/>
    </w:p>
    <w:p w14:paraId="5F361AB2" w14:textId="77777777" w:rsidR="00B979FC" w:rsidRPr="00E91574" w:rsidRDefault="00B979FC" w:rsidP="00B979F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using the </w:t>
      </w:r>
      <w:r w:rsidRPr="0051236F">
        <w:rPr>
          <w:color w:val="000000"/>
          <w:highlight w:val="yellow"/>
          <w:lang w:val="en-GB"/>
        </w:rPr>
        <w:t>Express Plus Medicare</w:t>
      </w:r>
      <w:r w:rsidRPr="00E91574">
        <w:rPr>
          <w:color w:val="000000"/>
          <w:lang w:val="en-GB"/>
        </w:rPr>
        <w:t xml:space="preserve"> mobile app or</w:t>
      </w:r>
    </w:p>
    <w:p w14:paraId="39AAF74E" w14:textId="77777777" w:rsidR="00B979FC" w:rsidRPr="00E91574" w:rsidRDefault="00B979FC" w:rsidP="00B979F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color w:val="000000"/>
          <w:lang w:val="en-GB"/>
        </w:rPr>
      </w:pPr>
      <w:proofErr w:type="gramStart"/>
      <w:r w:rsidRPr="00E91574">
        <w:rPr>
          <w:color w:val="000000"/>
          <w:lang w:val="en-GB"/>
        </w:rPr>
        <w:t>calling</w:t>
      </w:r>
      <w:proofErr w:type="gramEnd"/>
      <w:r w:rsidRPr="00E91574">
        <w:rPr>
          <w:color w:val="000000"/>
          <w:lang w:val="en-GB"/>
        </w:rPr>
        <w:t xml:space="preserve"> </w:t>
      </w:r>
      <w:r w:rsidRPr="0051236F">
        <w:rPr>
          <w:b/>
          <w:bCs/>
          <w:color w:val="000000"/>
          <w:highlight w:val="yellow"/>
          <w:lang w:val="en-GB"/>
        </w:rPr>
        <w:t>1800 653 809</w:t>
      </w:r>
      <w:r w:rsidRPr="00E91574">
        <w:rPr>
          <w:b/>
          <w:bCs/>
          <w:color w:val="000000"/>
          <w:lang w:val="en-GB"/>
        </w:rPr>
        <w:t>.</w:t>
      </w:r>
    </w:p>
    <w:p w14:paraId="6EDE409A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5F6148E8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If there’s information missing from your child’s immunisation history statement, ask your vaccination provider to send </w:t>
      </w:r>
      <w:r>
        <w:rPr>
          <w:color w:val="000000"/>
          <w:lang w:val="en-GB"/>
        </w:rPr>
        <w:t>it</w:t>
      </w:r>
      <w:r w:rsidRPr="00E91574">
        <w:rPr>
          <w:color w:val="000000"/>
          <w:lang w:val="en-GB"/>
        </w:rPr>
        <w:t xml:space="preserve"> to the </w:t>
      </w:r>
      <w:r w:rsidRPr="0051236F">
        <w:rPr>
          <w:color w:val="000000"/>
          <w:highlight w:val="yellow"/>
          <w:lang w:val="en-GB"/>
        </w:rPr>
        <w:t>Australian Immunisation Register</w:t>
      </w:r>
      <w:r w:rsidRPr="00E91574">
        <w:rPr>
          <w:color w:val="000000"/>
          <w:lang w:val="en-GB"/>
        </w:rPr>
        <w:t>.</w:t>
      </w:r>
    </w:p>
    <w:p w14:paraId="3236DAF4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7D7A80FA" w14:textId="77777777" w:rsidR="00B979FC" w:rsidRPr="00447EC3" w:rsidRDefault="00B979FC" w:rsidP="00B979FC">
      <w:pPr>
        <w:pStyle w:val="DHSHeadinglevel2"/>
      </w:pPr>
      <w:r w:rsidRPr="00447EC3">
        <w:t>Overseas vaccinations</w:t>
      </w:r>
    </w:p>
    <w:p w14:paraId="5FB2FBD1" w14:textId="77777777" w:rsidR="00B979FC" w:rsidRDefault="00B979FC" w:rsidP="00B979FC">
      <w:r w:rsidRPr="00447EC3">
        <w:rPr>
          <w:rStyle w:val="bumpedfont15"/>
        </w:rPr>
        <w:t xml:space="preserve">If your child received vaccinations overseas, take proof of these to your Australian vaccination provider. They’ll check your child has been given the correct vaccinations to meet the </w:t>
      </w:r>
      <w:r w:rsidRPr="0051236F">
        <w:rPr>
          <w:rStyle w:val="bumpedfont15"/>
          <w:highlight w:val="yellow"/>
        </w:rPr>
        <w:t>Australian National Immunisation Program (NIP) Schedule</w:t>
      </w:r>
      <w:r w:rsidRPr="00447EC3">
        <w:rPr>
          <w:rStyle w:val="bumpedfont15"/>
        </w:rPr>
        <w:t>.</w:t>
      </w:r>
    </w:p>
    <w:p w14:paraId="70736AA6" w14:textId="77777777" w:rsidR="00B979FC" w:rsidRDefault="00B979FC" w:rsidP="00B979FC">
      <w:pPr>
        <w:rPr>
          <w:rStyle w:val="bumpedfont15"/>
        </w:rPr>
      </w:pPr>
    </w:p>
    <w:p w14:paraId="16CF4776" w14:textId="77777777" w:rsidR="00B979FC" w:rsidRPr="00447EC3" w:rsidRDefault="00B979FC" w:rsidP="00B979FC">
      <w:r w:rsidRPr="00447EC3">
        <w:rPr>
          <w:rStyle w:val="bumpedfont15"/>
        </w:rPr>
        <w:t xml:space="preserve">If your child has met the </w:t>
      </w:r>
      <w:r w:rsidRPr="0051236F">
        <w:rPr>
          <w:rStyle w:val="bumpedfont15"/>
          <w:highlight w:val="yellow"/>
        </w:rPr>
        <w:t>NIP Schedule</w:t>
      </w:r>
      <w:r w:rsidRPr="00447EC3">
        <w:rPr>
          <w:rStyle w:val="bumpedfont15"/>
        </w:rPr>
        <w:t>, your Australian vaccination provider will update the </w:t>
      </w:r>
      <w:r w:rsidRPr="0051236F">
        <w:rPr>
          <w:rStyle w:val="bumpedfont15"/>
          <w:highlight w:val="yellow"/>
        </w:rPr>
        <w:t>Australian Immunisation Register</w:t>
      </w:r>
      <w:r w:rsidRPr="00447EC3">
        <w:rPr>
          <w:rStyle w:val="bumpedfont15"/>
        </w:rPr>
        <w:t>. </w:t>
      </w:r>
    </w:p>
    <w:p w14:paraId="28F535BD" w14:textId="77777777" w:rsidR="00B979FC" w:rsidRPr="00447EC3" w:rsidRDefault="00B979FC" w:rsidP="00B979FC"/>
    <w:p w14:paraId="621B4C28" w14:textId="77777777" w:rsidR="00B979FC" w:rsidRPr="00447EC3" w:rsidRDefault="00B979FC" w:rsidP="00B979FC">
      <w:r w:rsidRPr="00447EC3">
        <w:rPr>
          <w:rStyle w:val="bumpedfont15"/>
        </w:rPr>
        <w:t xml:space="preserve">If your child doesn’t meet the </w:t>
      </w:r>
      <w:r w:rsidRPr="0051236F">
        <w:rPr>
          <w:rStyle w:val="bumpedfont15"/>
          <w:highlight w:val="yellow"/>
        </w:rPr>
        <w:t>NIP Schedule</w:t>
      </w:r>
      <w:r w:rsidRPr="00447EC3">
        <w:rPr>
          <w:rStyle w:val="bumpedfont15"/>
        </w:rPr>
        <w:t>, the vaccination provider will recommend a catch up schedule of vaccinations.</w:t>
      </w:r>
    </w:p>
    <w:p w14:paraId="4C4572B9" w14:textId="77777777" w:rsidR="00B979FC" w:rsidRPr="00447EC3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1F4EF508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447EC3">
        <w:rPr>
          <w:color w:val="000000"/>
          <w:lang w:val="en-GB"/>
        </w:rPr>
        <w:t>If you’ve recently arrive</w:t>
      </w:r>
      <w:r w:rsidRPr="00E91574">
        <w:rPr>
          <w:color w:val="000000"/>
          <w:lang w:val="en-GB"/>
        </w:rPr>
        <w:t xml:space="preserve">d in Australia and need your child's immunisation evidence translated, read more about the </w:t>
      </w:r>
      <w:hyperlink r:id="rId8" w:history="1">
        <w:r w:rsidRPr="0051236F">
          <w:rPr>
            <w:rStyle w:val="Hyperlink"/>
            <w:highlight w:val="yellow"/>
            <w:lang w:val="en-GB"/>
          </w:rPr>
          <w:t>Free Translating Service</w:t>
        </w:r>
      </w:hyperlink>
      <w:r w:rsidRPr="00E91574">
        <w:rPr>
          <w:color w:val="000000"/>
          <w:lang w:val="en-GB"/>
        </w:rPr>
        <w:t xml:space="preserve"> on the </w:t>
      </w:r>
      <w:r w:rsidRPr="0051236F">
        <w:rPr>
          <w:color w:val="000000"/>
          <w:highlight w:val="yellow"/>
          <w:lang w:val="en-GB"/>
        </w:rPr>
        <w:t>Department of Social Services</w:t>
      </w:r>
      <w:r w:rsidRPr="00E91574">
        <w:rPr>
          <w:color w:val="000000"/>
          <w:lang w:val="en-GB"/>
        </w:rPr>
        <w:t xml:space="preserve"> website.</w:t>
      </w:r>
    </w:p>
    <w:p w14:paraId="331AF4DF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2C30D4FF" w14:textId="77777777" w:rsidR="00B979FC" w:rsidRPr="00E91574" w:rsidRDefault="00B979FC" w:rsidP="00B979FC">
      <w:pPr>
        <w:pStyle w:val="DHSHeadinglevel2"/>
      </w:pPr>
      <w:r w:rsidRPr="0051236F">
        <w:rPr>
          <w:highlight w:val="yellow"/>
        </w:rPr>
        <w:t>Australian Immunisation Register</w:t>
      </w:r>
    </w:p>
    <w:p w14:paraId="68680723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  <w:r w:rsidRPr="00E91574">
        <w:rPr>
          <w:color w:val="000000"/>
          <w:lang w:val="en-GB"/>
        </w:rPr>
        <w:t xml:space="preserve">The </w:t>
      </w:r>
      <w:r w:rsidRPr="0051236F">
        <w:rPr>
          <w:color w:val="000000"/>
          <w:highlight w:val="yellow"/>
          <w:lang w:val="en-GB"/>
        </w:rPr>
        <w:t>Australian Immunisation Register</w:t>
      </w:r>
      <w:r w:rsidRPr="00E91574">
        <w:rPr>
          <w:color w:val="000000"/>
          <w:lang w:val="en-GB"/>
        </w:rPr>
        <w:t xml:space="preserve"> is a national register that records vaccinations given to people of all ages in Australia. The register records vaccinations given through general practices and community clinics.</w:t>
      </w:r>
    </w:p>
    <w:p w14:paraId="79E6B502" w14:textId="77777777" w:rsidR="00B979FC" w:rsidRPr="00E91574" w:rsidRDefault="00B979FC" w:rsidP="00B979FC">
      <w:pPr>
        <w:autoSpaceDE w:val="0"/>
        <w:autoSpaceDN w:val="0"/>
        <w:adjustRightInd w:val="0"/>
        <w:rPr>
          <w:color w:val="000000"/>
          <w:lang w:val="en-GB"/>
        </w:rPr>
      </w:pPr>
    </w:p>
    <w:p w14:paraId="22BB1221" w14:textId="77777777" w:rsidR="00B979FC" w:rsidRPr="00E91574" w:rsidRDefault="00B979FC" w:rsidP="00B979FC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We will automatically include c</w:t>
      </w:r>
      <w:r w:rsidRPr="00E91574">
        <w:rPr>
          <w:lang w:val="en-GB"/>
        </w:rPr>
        <w:t xml:space="preserve">hildren enrolled in </w:t>
      </w:r>
      <w:r w:rsidRPr="0051236F">
        <w:rPr>
          <w:highlight w:val="yellow"/>
          <w:lang w:val="en-GB"/>
        </w:rPr>
        <w:t>Medicare</w:t>
      </w:r>
      <w:r w:rsidRPr="00E91574">
        <w:rPr>
          <w:lang w:val="en-GB"/>
        </w:rPr>
        <w:t xml:space="preserve"> on the </w:t>
      </w:r>
      <w:r w:rsidRPr="0051236F">
        <w:rPr>
          <w:highlight w:val="yellow"/>
          <w:lang w:val="en-GB"/>
        </w:rPr>
        <w:t>Australian Immunisation Register</w:t>
      </w:r>
      <w:r w:rsidRPr="00E91574">
        <w:rPr>
          <w:lang w:val="en-GB"/>
        </w:rPr>
        <w:t>.</w:t>
      </w:r>
    </w:p>
    <w:p w14:paraId="7DB32DF6" w14:textId="77777777" w:rsidR="00B979FC" w:rsidRPr="00E91574" w:rsidRDefault="00B979FC" w:rsidP="00B979FC">
      <w:pPr>
        <w:autoSpaceDE w:val="0"/>
        <w:autoSpaceDN w:val="0"/>
        <w:adjustRightInd w:val="0"/>
        <w:rPr>
          <w:lang w:val="en-GB"/>
        </w:rPr>
      </w:pPr>
    </w:p>
    <w:p w14:paraId="5DF73C7D" w14:textId="77777777" w:rsidR="00B979FC" w:rsidRDefault="00B979FC" w:rsidP="00B979FC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We will add c</w:t>
      </w:r>
      <w:r w:rsidRPr="00E91574">
        <w:rPr>
          <w:lang w:val="en-GB"/>
        </w:rPr>
        <w:t xml:space="preserve">hildren who aren’t eligible to enrol in </w:t>
      </w:r>
      <w:r w:rsidRPr="0051236F">
        <w:rPr>
          <w:highlight w:val="yellow"/>
          <w:lang w:val="en-GB"/>
        </w:rPr>
        <w:t>Medicare</w:t>
      </w:r>
      <w:r w:rsidRPr="00E91574">
        <w:rPr>
          <w:lang w:val="en-GB"/>
        </w:rPr>
        <w:t xml:space="preserve"> to the </w:t>
      </w:r>
      <w:r w:rsidRPr="0051236F">
        <w:rPr>
          <w:highlight w:val="yellow"/>
          <w:lang w:val="en-GB"/>
        </w:rPr>
        <w:t>Immunisation Register</w:t>
      </w:r>
      <w:r w:rsidRPr="00E91574">
        <w:rPr>
          <w:lang w:val="en-GB"/>
        </w:rPr>
        <w:t xml:space="preserve"> when a vaccination provider (including a general practitioner) sends the details of a vaccination to the </w:t>
      </w:r>
      <w:r w:rsidRPr="0051236F">
        <w:rPr>
          <w:highlight w:val="yellow"/>
          <w:lang w:val="en-GB"/>
        </w:rPr>
        <w:t>Australian Immunisation Register</w:t>
      </w:r>
      <w:r w:rsidRPr="00E91574">
        <w:rPr>
          <w:lang w:val="en-GB"/>
        </w:rPr>
        <w:t>.</w:t>
      </w:r>
    </w:p>
    <w:p w14:paraId="50030EEF" w14:textId="77777777" w:rsidR="00B979FC" w:rsidRPr="00E91574" w:rsidRDefault="00B979FC" w:rsidP="00B979FC">
      <w:pPr>
        <w:autoSpaceDE w:val="0"/>
        <w:autoSpaceDN w:val="0"/>
        <w:adjustRightInd w:val="0"/>
        <w:rPr>
          <w:lang w:val="en-GB"/>
        </w:rPr>
      </w:pPr>
    </w:p>
    <w:p w14:paraId="78A16F80" w14:textId="7F6FC1BB" w:rsidR="002E54BF" w:rsidRDefault="002E54BF" w:rsidP="002E54BF">
      <w:pPr>
        <w:pStyle w:val="DHSHeadinglevel2"/>
      </w:pPr>
      <w:r>
        <w:t>For more information</w:t>
      </w:r>
    </w:p>
    <w:p w14:paraId="643F75B6" w14:textId="44416209" w:rsidR="002E54BF" w:rsidRDefault="002E54BF" w:rsidP="002E54BF">
      <w:pPr>
        <w:pStyle w:val="DHSbodytext"/>
        <w:numPr>
          <w:ilvl w:val="0"/>
          <w:numId w:val="13"/>
        </w:numPr>
      </w:pPr>
      <w:r>
        <w:t xml:space="preserve">go to </w:t>
      </w:r>
      <w:r w:rsidRPr="002E54BF">
        <w:rPr>
          <w:b/>
          <w:highlight w:val="yellow"/>
        </w:rPr>
        <w:t>humanservices.gov.au/</w:t>
      </w:r>
      <w:proofErr w:type="spellStart"/>
      <w:r w:rsidR="00B979FC">
        <w:rPr>
          <w:b/>
        </w:rPr>
        <w:t>immunisationregister</w:t>
      </w:r>
      <w:proofErr w:type="spellEnd"/>
      <w:r w:rsidR="00B979FC">
        <w:t xml:space="preserve"> </w:t>
      </w:r>
      <w:r>
        <w:t>for more information in English</w:t>
      </w:r>
    </w:p>
    <w:p w14:paraId="7193BCD4" w14:textId="7E3B49E5" w:rsidR="002E54BF" w:rsidRDefault="002E54BF" w:rsidP="002E54BF">
      <w:pPr>
        <w:pStyle w:val="DHSbodytext"/>
        <w:numPr>
          <w:ilvl w:val="0"/>
          <w:numId w:val="13"/>
        </w:numPr>
      </w:pPr>
      <w:r>
        <w:t xml:space="preserve">go to </w:t>
      </w:r>
      <w:hyperlink r:id="rId9" w:history="1">
        <w:r w:rsidRPr="00FC0871">
          <w:rPr>
            <w:rStyle w:val="Hyperlink"/>
            <w:b/>
            <w:highlight w:val="yellow"/>
          </w:rPr>
          <w:t>humanservices.gov.au/</w:t>
        </w:r>
        <w:proofErr w:type="spellStart"/>
        <w:r w:rsidRPr="00FC0871">
          <w:rPr>
            <w:rStyle w:val="Hyperlink"/>
            <w:b/>
            <w:highlight w:val="yellow"/>
          </w:rPr>
          <w:t>yourlanguage</w:t>
        </w:r>
        <w:proofErr w:type="spellEnd"/>
      </w:hyperlink>
      <w:r>
        <w:t xml:space="preserve"> where you can read, listen to or watch videos with information in your language</w:t>
      </w:r>
    </w:p>
    <w:p w14:paraId="4BBFF891" w14:textId="4FEF2A01" w:rsidR="002E54BF" w:rsidRDefault="002E54BF" w:rsidP="002E54BF">
      <w:pPr>
        <w:pStyle w:val="DHSbodytext"/>
        <w:numPr>
          <w:ilvl w:val="0"/>
          <w:numId w:val="13"/>
        </w:numPr>
      </w:pPr>
      <w:r>
        <w:t xml:space="preserve">call </w:t>
      </w:r>
      <w:r w:rsidRPr="00FC0871">
        <w:rPr>
          <w:b/>
          <w:highlight w:val="yellow"/>
        </w:rPr>
        <w:t>131 202</w:t>
      </w:r>
      <w:r>
        <w:t xml:space="preserve"> to speak with us in your language about </w:t>
      </w:r>
      <w:r w:rsidRPr="00FC0871">
        <w:rPr>
          <w:highlight w:val="yellow"/>
        </w:rPr>
        <w:t>Centrelink</w:t>
      </w:r>
      <w:r>
        <w:t xml:space="preserve"> payments and services</w:t>
      </w:r>
    </w:p>
    <w:p w14:paraId="54A8138E" w14:textId="7B82C449" w:rsidR="002E54BF" w:rsidRDefault="002E54BF" w:rsidP="002E54BF">
      <w:pPr>
        <w:pStyle w:val="DHSbodytext"/>
        <w:numPr>
          <w:ilvl w:val="0"/>
          <w:numId w:val="13"/>
        </w:numPr>
      </w:pPr>
      <w:r>
        <w:t xml:space="preserve">call the </w:t>
      </w:r>
      <w:r w:rsidRPr="00FC0871">
        <w:rPr>
          <w:highlight w:val="yellow"/>
        </w:rPr>
        <w:t>Translating and Interpreting Service (TIS National)</w:t>
      </w:r>
      <w:r>
        <w:t xml:space="preserve"> on </w:t>
      </w:r>
      <w:r w:rsidRPr="00FC0871">
        <w:rPr>
          <w:b/>
          <w:highlight w:val="yellow"/>
        </w:rPr>
        <w:t>131 450</w:t>
      </w:r>
      <w:r>
        <w:t xml:space="preserve"> to speak with us in your language about </w:t>
      </w:r>
      <w:r w:rsidRPr="00FC0871">
        <w:rPr>
          <w:highlight w:val="yellow"/>
        </w:rPr>
        <w:t>Medicare</w:t>
      </w:r>
      <w:r>
        <w:t xml:space="preserve"> and </w:t>
      </w:r>
      <w:r w:rsidRPr="00FC0871">
        <w:rPr>
          <w:highlight w:val="yellow"/>
        </w:rPr>
        <w:t>Child Support</w:t>
      </w:r>
      <w:r>
        <w:t xml:space="preserve"> payments and services</w:t>
      </w:r>
    </w:p>
    <w:p w14:paraId="4F0312C4" w14:textId="57B5CE9A" w:rsidR="002E54BF" w:rsidRDefault="002E54BF" w:rsidP="002E54BF">
      <w:pPr>
        <w:pStyle w:val="DHSbodytext"/>
        <w:numPr>
          <w:ilvl w:val="0"/>
          <w:numId w:val="13"/>
        </w:numPr>
      </w:pPr>
      <w:proofErr w:type="gramStart"/>
      <w:r>
        <w:t>visit</w:t>
      </w:r>
      <w:proofErr w:type="gramEnd"/>
      <w:r>
        <w:t xml:space="preserve"> a service centre</w:t>
      </w:r>
      <w:r w:rsidR="00F27F06">
        <w:t>.</w:t>
      </w:r>
    </w:p>
    <w:p w14:paraId="13562209" w14:textId="5E1F49A7" w:rsidR="00F744ED" w:rsidRDefault="00F744ED" w:rsidP="002E54BF">
      <w:pPr>
        <w:pStyle w:val="DHSbodytext"/>
      </w:pPr>
      <w:r>
        <w:lastRenderedPageBreak/>
        <w:t>Note: c</w:t>
      </w:r>
      <w:r w:rsidR="002E54BF">
        <w:t>all</w:t>
      </w:r>
      <w:r>
        <w:t>s</w:t>
      </w:r>
      <w:r w:rsidR="002E54BF">
        <w:t xml:space="preserve"> </w:t>
      </w:r>
      <w:r>
        <w:t xml:space="preserve">from your home phone to </w:t>
      </w:r>
      <w:r w:rsidRPr="0051236F">
        <w:rPr>
          <w:highlight w:val="yellow"/>
        </w:rPr>
        <w:t>‘13’</w:t>
      </w:r>
      <w:r>
        <w:t xml:space="preserve"> numbers from anywhere in Australia are charged at a fixed rate. That rate may vary from </w:t>
      </w:r>
      <w:r w:rsidR="00D01EEE">
        <w:t xml:space="preserve">the </w:t>
      </w:r>
      <w:r>
        <w:t xml:space="preserve">price of a local call and may also vary between telephone service providers. Calls to </w:t>
      </w:r>
      <w:r w:rsidRPr="0051236F">
        <w:rPr>
          <w:highlight w:val="yellow"/>
        </w:rPr>
        <w:t>‘1800’</w:t>
      </w:r>
      <w:r>
        <w:t xml:space="preserve"> numbers from your home phone are free. Calls from public and mobile phones may be timed and charged at a higher rate. </w:t>
      </w:r>
    </w:p>
    <w:p w14:paraId="5F35FAFB" w14:textId="77777777" w:rsidR="00EF4546" w:rsidRDefault="00EF4546" w:rsidP="00EF4546">
      <w:pPr>
        <w:pStyle w:val="02Heading"/>
      </w:pPr>
      <w:r>
        <w:t>Disclaimer</w:t>
      </w:r>
      <w:bookmarkStart w:id="0" w:name="_GoBack"/>
      <w:bookmarkEnd w:id="0"/>
    </w:p>
    <w:p w14:paraId="2737212E" w14:textId="331FD62A" w:rsidR="00F744ED" w:rsidRDefault="00F744ED" w:rsidP="00EF4546">
      <w:pPr>
        <w:tabs>
          <w:tab w:val="left" w:pos="239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information contained in this publication is intended only as a guide to payments and services. It’s your responsibility to decide if you wish to apply for a payment and to make an application with regard to your particular circumstances. </w:t>
      </w:r>
    </w:p>
    <w:p w14:paraId="0F8B1C7A" w14:textId="77777777" w:rsidR="00F744ED" w:rsidRDefault="00F744ED" w:rsidP="00EF4546">
      <w:pPr>
        <w:tabs>
          <w:tab w:val="left" w:pos="2393"/>
        </w:tabs>
        <w:rPr>
          <w:rFonts w:ascii="Arial" w:hAnsi="Arial" w:cs="Arial"/>
          <w:sz w:val="22"/>
          <w:szCs w:val="22"/>
        </w:rPr>
      </w:pPr>
    </w:p>
    <w:p w14:paraId="5361963D" w14:textId="31C80E2F" w:rsidR="00F81969" w:rsidRDefault="00F81969" w:rsidP="00002414">
      <w:pPr>
        <w:pStyle w:val="DHSbodytext"/>
      </w:pPr>
      <w:r>
        <w:br w:type="page"/>
      </w:r>
    </w:p>
    <w:p w14:paraId="249EEC37" w14:textId="77777777" w:rsidR="00F81969" w:rsidRPr="002E54BF" w:rsidRDefault="00F81969" w:rsidP="002E54BF">
      <w:pPr>
        <w:pStyle w:val="DHSbodytext"/>
      </w:pPr>
    </w:p>
    <w:sectPr w:rsidR="00F81969" w:rsidRPr="002E54BF" w:rsidSect="000024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2" w:right="1134" w:bottom="1440" w:left="1134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DEF58" w14:textId="77777777" w:rsidR="00E67BCA" w:rsidRDefault="00E67BCA">
      <w:r>
        <w:separator/>
      </w:r>
    </w:p>
  </w:endnote>
  <w:endnote w:type="continuationSeparator" w:id="0">
    <w:p w14:paraId="4FF87C3C" w14:textId="77777777" w:rsidR="00E67BCA" w:rsidRDefault="00E6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9B93" w14:textId="77777777" w:rsidR="00B60996" w:rsidRDefault="00B60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51150" w14:textId="77777777" w:rsidR="007B4F51" w:rsidRPr="00002414" w:rsidRDefault="007B4F51" w:rsidP="00082A25">
    <w:pPr>
      <w:pStyle w:val="Footer"/>
      <w:tabs>
        <w:tab w:val="clear" w:pos="8306"/>
        <w:tab w:val="right" w:pos="9639"/>
      </w:tabs>
      <w:rPr>
        <w:rFonts w:ascii="Arial" w:hAnsi="Arial" w:cs="Arial"/>
        <w:color w:val="A6A6A6" w:themeColor="background1" w:themeShade="A6"/>
        <w:sz w:val="18"/>
        <w:szCs w:val="18"/>
      </w:rPr>
    </w:pPr>
    <w:r w:rsidRPr="00002414">
      <w:rPr>
        <w:rFonts w:ascii="Arial" w:hAnsi="Arial" w:cs="Arial"/>
        <w:color w:val="A6A6A6" w:themeColor="background1" w:themeShade="A6"/>
        <w:sz w:val="18"/>
        <w:szCs w:val="18"/>
      </w:rPr>
      <w:t xml:space="preserve">PAGE </w: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begin"/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instrText xml:space="preserve"> PAGE </w:instrTex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separate"/>
    </w:r>
    <w:r w:rsidR="0051236F">
      <w:rPr>
        <w:rFonts w:ascii="Arial" w:hAnsi="Arial" w:cs="Arial"/>
        <w:noProof/>
        <w:color w:val="A6A6A6" w:themeColor="background1" w:themeShade="A6"/>
        <w:sz w:val="18"/>
        <w:szCs w:val="18"/>
      </w:rPr>
      <w:t>4</w: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end"/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t xml:space="preserve"> OF </w: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begin"/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instrText xml:space="preserve"> NUMPAGES </w:instrTex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separate"/>
    </w:r>
    <w:r w:rsidR="0051236F">
      <w:rPr>
        <w:rFonts w:ascii="Arial" w:hAnsi="Arial" w:cs="Arial"/>
        <w:noProof/>
        <w:color w:val="A6A6A6" w:themeColor="background1" w:themeShade="A6"/>
        <w:sz w:val="18"/>
        <w:szCs w:val="18"/>
      </w:rPr>
      <w:t>4</w:t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fldChar w:fldCharType="end"/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tab/>
    </w:r>
    <w:r w:rsidRPr="00002414">
      <w:rPr>
        <w:rFonts w:ascii="Arial" w:hAnsi="Arial" w:cs="Arial"/>
        <w:color w:val="A6A6A6" w:themeColor="background1" w:themeShade="A6"/>
        <w:sz w:val="18"/>
        <w:szCs w:val="18"/>
      </w:rPr>
      <w:tab/>
      <w:t>Department of Human Services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1B7B8" w14:textId="76244AB0" w:rsidR="007B4F51" w:rsidRPr="00002414" w:rsidRDefault="00F81969" w:rsidP="00002414">
    <w:pPr>
      <w:pStyle w:val="DHSbodytext"/>
      <w:spacing w:before="240"/>
      <w:rPr>
        <w:color w:val="A6A6A6" w:themeColor="background1" w:themeShade="A6"/>
        <w:sz w:val="18"/>
        <w:szCs w:val="18"/>
      </w:rPr>
    </w:pPr>
    <w:r w:rsidRPr="00002414">
      <w:rPr>
        <w:color w:val="A6A6A6" w:themeColor="background1" w:themeShade="A6"/>
        <w:sz w:val="18"/>
        <w:szCs w:val="18"/>
      </w:rPr>
      <w:t>XXXXX.YYMM</w:t>
    </w:r>
    <w:r w:rsidR="00002414" w:rsidRPr="00002414">
      <w:rPr>
        <w:color w:val="A6A6A6" w:themeColor="background1" w:themeShade="A6"/>
        <w:sz w:val="18"/>
        <w:szCs w:val="18"/>
      </w:rPr>
      <w:ptab w:relativeTo="margin" w:alignment="right" w:leader="none"/>
    </w:r>
    <w:r w:rsidR="007B4F51" w:rsidRPr="00002414">
      <w:rPr>
        <w:noProof/>
        <w:color w:val="A6A6A6" w:themeColor="background1" w:themeShade="A6"/>
        <w:sz w:val="18"/>
        <w:szCs w:val="18"/>
      </w:rPr>
      <w:drawing>
        <wp:inline distT="0" distB="0" distL="0" distR="0" wp14:anchorId="54C17D3F" wp14:editId="1823A86D">
          <wp:extent cx="2860675" cy="431165"/>
          <wp:effectExtent l="0" t="0" r="0" b="6985"/>
          <wp:docPr id="22" name="Picture 22" descr="humanservices.gov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his image represents the Australian Government Department of Human Services Life Event foot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67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3B659B" w14:textId="4D928BA2" w:rsidR="00F81969" w:rsidRPr="00002414" w:rsidRDefault="00F81969" w:rsidP="00F81969">
    <w:pPr>
      <w:pStyle w:val="DHSbodytext"/>
      <w:rPr>
        <w:color w:val="A6A6A6" w:themeColor="background1" w:themeShade="A6"/>
        <w:sz w:val="18"/>
        <w:szCs w:val="18"/>
      </w:rPr>
    </w:pPr>
    <w:r w:rsidRPr="00002414">
      <w:rPr>
        <w:color w:val="A6A6A6" w:themeColor="background1" w:themeShade="A6"/>
        <w:sz w:val="18"/>
        <w:szCs w:val="18"/>
      </w:rPr>
      <w:t xml:space="preserve">PAGE </w:t>
    </w:r>
    <w:r w:rsidRPr="00002414">
      <w:rPr>
        <w:color w:val="A6A6A6" w:themeColor="background1" w:themeShade="A6"/>
        <w:sz w:val="18"/>
        <w:szCs w:val="18"/>
      </w:rPr>
      <w:fldChar w:fldCharType="begin"/>
    </w:r>
    <w:r w:rsidRPr="00002414">
      <w:rPr>
        <w:color w:val="A6A6A6" w:themeColor="background1" w:themeShade="A6"/>
        <w:sz w:val="18"/>
        <w:szCs w:val="18"/>
      </w:rPr>
      <w:instrText xml:space="preserve"> PAGE   \* MERGEFORMAT </w:instrText>
    </w:r>
    <w:r w:rsidRPr="00002414">
      <w:rPr>
        <w:color w:val="A6A6A6" w:themeColor="background1" w:themeShade="A6"/>
        <w:sz w:val="18"/>
        <w:szCs w:val="18"/>
      </w:rPr>
      <w:fldChar w:fldCharType="separate"/>
    </w:r>
    <w:r w:rsidR="0051236F">
      <w:rPr>
        <w:noProof/>
        <w:color w:val="A6A6A6" w:themeColor="background1" w:themeShade="A6"/>
        <w:sz w:val="18"/>
        <w:szCs w:val="18"/>
      </w:rPr>
      <w:t>1</w:t>
    </w:r>
    <w:r w:rsidRPr="00002414">
      <w:rPr>
        <w:color w:val="A6A6A6" w:themeColor="background1" w:themeShade="A6"/>
        <w:sz w:val="18"/>
        <w:szCs w:val="18"/>
      </w:rPr>
      <w:fldChar w:fldCharType="end"/>
    </w:r>
    <w:r w:rsidRPr="00002414">
      <w:rPr>
        <w:color w:val="A6A6A6" w:themeColor="background1" w:themeShade="A6"/>
        <w:sz w:val="18"/>
        <w:szCs w:val="18"/>
      </w:rPr>
      <w:t xml:space="preserve"> OF </w:t>
    </w:r>
    <w:r w:rsidR="00423A30" w:rsidRPr="00002414">
      <w:rPr>
        <w:color w:val="A6A6A6" w:themeColor="background1" w:themeShade="A6"/>
        <w:sz w:val="18"/>
        <w:szCs w:val="18"/>
      </w:rPr>
      <w:fldChar w:fldCharType="begin"/>
    </w:r>
    <w:r w:rsidR="00423A30" w:rsidRPr="00002414">
      <w:rPr>
        <w:color w:val="A6A6A6" w:themeColor="background1" w:themeShade="A6"/>
        <w:sz w:val="18"/>
        <w:szCs w:val="18"/>
      </w:rPr>
      <w:instrText xml:space="preserve"> NUMPAGES   \* MERGEFORMAT </w:instrText>
    </w:r>
    <w:r w:rsidR="00423A30" w:rsidRPr="00002414">
      <w:rPr>
        <w:color w:val="A6A6A6" w:themeColor="background1" w:themeShade="A6"/>
        <w:sz w:val="18"/>
        <w:szCs w:val="18"/>
      </w:rPr>
      <w:fldChar w:fldCharType="separate"/>
    </w:r>
    <w:r w:rsidR="0051236F">
      <w:rPr>
        <w:noProof/>
        <w:color w:val="A6A6A6" w:themeColor="background1" w:themeShade="A6"/>
        <w:sz w:val="18"/>
        <w:szCs w:val="18"/>
      </w:rPr>
      <w:t>4</w:t>
    </w:r>
    <w:r w:rsidR="00423A30" w:rsidRPr="00002414">
      <w:rPr>
        <w:noProof/>
        <w:color w:val="A6A6A6" w:themeColor="background1" w:themeShade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C8C75" w14:textId="77777777" w:rsidR="00E67BCA" w:rsidRDefault="00E67BCA">
      <w:r>
        <w:separator/>
      </w:r>
    </w:p>
  </w:footnote>
  <w:footnote w:type="continuationSeparator" w:id="0">
    <w:p w14:paraId="73DC0A39" w14:textId="77777777" w:rsidR="00E67BCA" w:rsidRDefault="00E67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7E80D" w14:textId="77777777" w:rsidR="00B60996" w:rsidRDefault="00B60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7E93F" w14:textId="4DC7D6D2" w:rsidR="00F81969" w:rsidRDefault="00F81969" w:rsidP="00F81969">
    <w:pPr>
      <w:pStyle w:val="Header"/>
      <w:tabs>
        <w:tab w:val="clear" w:pos="8306"/>
        <w:tab w:val="right" w:pos="9638"/>
      </w:tabs>
    </w:pPr>
    <w:r>
      <w:tab/>
    </w:r>
    <w:r>
      <w:tab/>
      <w:t>ENGLISH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92633" w14:textId="5D9D9CF5" w:rsidR="007B4F51" w:rsidRDefault="007B4F51" w:rsidP="00F81969">
    <w:pPr>
      <w:pStyle w:val="Header"/>
      <w:tabs>
        <w:tab w:val="clear" w:pos="8306"/>
        <w:tab w:val="right" w:pos="9638"/>
      </w:tabs>
      <w:ind w:left="-567"/>
    </w:pPr>
    <w:r>
      <w:rPr>
        <w:noProof/>
      </w:rPr>
      <w:drawing>
        <wp:inline distT="0" distB="0" distL="0" distR="0" wp14:anchorId="28ACC44F" wp14:editId="2E44BB3C">
          <wp:extent cx="2535555" cy="578485"/>
          <wp:effectExtent l="0" t="0" r="0" b="0"/>
          <wp:docPr id="21" name="Picture 0" descr="Australian Government Department of Human Servic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his image represents the Australian Government Department of Human Services Cr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794" b="94312"/>
                  <a:stretch>
                    <a:fillRect/>
                  </a:stretch>
                </pic:blipFill>
                <pic:spPr bwMode="auto">
                  <a:xfrm>
                    <a:off x="0" y="0"/>
                    <a:ext cx="2535555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1969">
      <w:tab/>
    </w:r>
    <w:r w:rsidR="00F81969">
      <w:tab/>
      <w:t>ENGLISH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4ED"/>
    <w:multiLevelType w:val="hybridMultilevel"/>
    <w:tmpl w:val="5694F0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4684FC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4594F"/>
    <w:multiLevelType w:val="multilevel"/>
    <w:tmpl w:val="3BC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4E34"/>
    <w:multiLevelType w:val="multilevel"/>
    <w:tmpl w:val="B70E390A"/>
    <w:lvl w:ilvl="0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42A5"/>
    <w:multiLevelType w:val="hybridMultilevel"/>
    <w:tmpl w:val="D95AC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2BBB"/>
    <w:multiLevelType w:val="hybridMultilevel"/>
    <w:tmpl w:val="BED6CF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2412A1"/>
    <w:multiLevelType w:val="hybridMultilevel"/>
    <w:tmpl w:val="37040258"/>
    <w:lvl w:ilvl="0" w:tplc="415CCEE0">
      <w:start w:val="1"/>
      <w:numFmt w:val="bullet"/>
      <w:pStyle w:val="DHSBulletslevel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B0ADA"/>
    <w:multiLevelType w:val="hybridMultilevel"/>
    <w:tmpl w:val="1884067E"/>
    <w:lvl w:ilvl="0" w:tplc="EDCC675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98EE8FA2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2B50"/>
    <w:multiLevelType w:val="hybridMultilevel"/>
    <w:tmpl w:val="D3EEE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059D4"/>
    <w:multiLevelType w:val="hybridMultilevel"/>
    <w:tmpl w:val="D27A4020"/>
    <w:lvl w:ilvl="0" w:tplc="EDCC675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5450E"/>
    <w:multiLevelType w:val="multilevel"/>
    <w:tmpl w:val="E67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44F79"/>
    <w:multiLevelType w:val="hybridMultilevel"/>
    <w:tmpl w:val="3B5ED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67B7"/>
    <w:multiLevelType w:val="hybridMultilevel"/>
    <w:tmpl w:val="6AE40660"/>
    <w:lvl w:ilvl="0" w:tplc="0C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635A5207"/>
    <w:multiLevelType w:val="hybridMultilevel"/>
    <w:tmpl w:val="E102AFF0"/>
    <w:lvl w:ilvl="0" w:tplc="0C462F74">
      <w:start w:val="1"/>
      <w:numFmt w:val="decimal"/>
      <w:pStyle w:val="DHSNumberslevel1"/>
      <w:lvlText w:val="%1."/>
      <w:lvlJc w:val="left"/>
      <w:pPr>
        <w:ind w:left="1060" w:hanging="360"/>
      </w:pPr>
    </w:lvl>
    <w:lvl w:ilvl="1" w:tplc="0C090019" w:tentative="1">
      <w:start w:val="1"/>
      <w:numFmt w:val="lowerLetter"/>
      <w:lvlText w:val="%2."/>
      <w:lvlJc w:val="left"/>
      <w:pPr>
        <w:ind w:left="1780" w:hanging="360"/>
      </w:pPr>
    </w:lvl>
    <w:lvl w:ilvl="2" w:tplc="0C09001B" w:tentative="1">
      <w:start w:val="1"/>
      <w:numFmt w:val="lowerRoman"/>
      <w:lvlText w:val="%3."/>
      <w:lvlJc w:val="right"/>
      <w:pPr>
        <w:ind w:left="2500" w:hanging="180"/>
      </w:pPr>
    </w:lvl>
    <w:lvl w:ilvl="3" w:tplc="0C09000F" w:tentative="1">
      <w:start w:val="1"/>
      <w:numFmt w:val="decimal"/>
      <w:lvlText w:val="%4."/>
      <w:lvlJc w:val="left"/>
      <w:pPr>
        <w:ind w:left="3220" w:hanging="360"/>
      </w:pPr>
    </w:lvl>
    <w:lvl w:ilvl="4" w:tplc="0C090019" w:tentative="1">
      <w:start w:val="1"/>
      <w:numFmt w:val="lowerLetter"/>
      <w:lvlText w:val="%5."/>
      <w:lvlJc w:val="left"/>
      <w:pPr>
        <w:ind w:left="3940" w:hanging="360"/>
      </w:pPr>
    </w:lvl>
    <w:lvl w:ilvl="5" w:tplc="0C09001B" w:tentative="1">
      <w:start w:val="1"/>
      <w:numFmt w:val="lowerRoman"/>
      <w:lvlText w:val="%6."/>
      <w:lvlJc w:val="right"/>
      <w:pPr>
        <w:ind w:left="4660" w:hanging="180"/>
      </w:pPr>
    </w:lvl>
    <w:lvl w:ilvl="6" w:tplc="0C09000F" w:tentative="1">
      <w:start w:val="1"/>
      <w:numFmt w:val="decimal"/>
      <w:lvlText w:val="%7."/>
      <w:lvlJc w:val="left"/>
      <w:pPr>
        <w:ind w:left="5380" w:hanging="360"/>
      </w:pPr>
    </w:lvl>
    <w:lvl w:ilvl="7" w:tplc="0C090019" w:tentative="1">
      <w:start w:val="1"/>
      <w:numFmt w:val="lowerLetter"/>
      <w:lvlText w:val="%8."/>
      <w:lvlJc w:val="left"/>
      <w:pPr>
        <w:ind w:left="6100" w:hanging="360"/>
      </w:pPr>
    </w:lvl>
    <w:lvl w:ilvl="8" w:tplc="0C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6AB31082"/>
    <w:multiLevelType w:val="hybridMultilevel"/>
    <w:tmpl w:val="1CDA2848"/>
    <w:lvl w:ilvl="0" w:tplc="D4381698">
      <w:start w:val="1"/>
      <w:numFmt w:val="bullet"/>
      <w:pStyle w:val="DHSBulletslevel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401A"/>
    <w:multiLevelType w:val="hybridMultilevel"/>
    <w:tmpl w:val="B70E390A"/>
    <w:lvl w:ilvl="0" w:tplc="50A2BA7E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343E8"/>
    <w:multiLevelType w:val="hybridMultilevel"/>
    <w:tmpl w:val="C658C410"/>
    <w:lvl w:ilvl="0" w:tplc="6408EF10">
      <w:start w:val="1"/>
      <w:numFmt w:val="lowerLetter"/>
      <w:pStyle w:val="DHSNumberslevel2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41F01"/>
    <w:multiLevelType w:val="hybridMultilevel"/>
    <w:tmpl w:val="3BCEC3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5"/>
  </w:num>
  <w:num w:numId="7">
    <w:abstractNumId w:val="12"/>
  </w:num>
  <w:num w:numId="8">
    <w:abstractNumId w:val="15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0"/>
  </w:num>
  <w:num w:numId="14">
    <w:abstractNumId w:val="11"/>
  </w:num>
  <w:num w:numId="15">
    <w:abstractNumId w:val="9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97"/>
    <w:rsid w:val="00002414"/>
    <w:rsid w:val="00026916"/>
    <w:rsid w:val="00041A39"/>
    <w:rsid w:val="00062997"/>
    <w:rsid w:val="00073CE8"/>
    <w:rsid w:val="00082A25"/>
    <w:rsid w:val="00086EA1"/>
    <w:rsid w:val="000C6C57"/>
    <w:rsid w:val="000D0E18"/>
    <w:rsid w:val="000F770A"/>
    <w:rsid w:val="00112F82"/>
    <w:rsid w:val="001240E8"/>
    <w:rsid w:val="001A1B66"/>
    <w:rsid w:val="001A4EB0"/>
    <w:rsid w:val="001C78DA"/>
    <w:rsid w:val="001D1F61"/>
    <w:rsid w:val="001D4174"/>
    <w:rsid w:val="001E6CFA"/>
    <w:rsid w:val="00254005"/>
    <w:rsid w:val="00284ADE"/>
    <w:rsid w:val="00290FA5"/>
    <w:rsid w:val="002A1272"/>
    <w:rsid w:val="002C19E4"/>
    <w:rsid w:val="002E54BF"/>
    <w:rsid w:val="00300015"/>
    <w:rsid w:val="0038253F"/>
    <w:rsid w:val="003A012C"/>
    <w:rsid w:val="003A53A0"/>
    <w:rsid w:val="003B453F"/>
    <w:rsid w:val="003F72E8"/>
    <w:rsid w:val="00414BF8"/>
    <w:rsid w:val="004203AA"/>
    <w:rsid w:val="00423A30"/>
    <w:rsid w:val="00426CFE"/>
    <w:rsid w:val="00432428"/>
    <w:rsid w:val="004E0DA8"/>
    <w:rsid w:val="00504AA8"/>
    <w:rsid w:val="00507EB2"/>
    <w:rsid w:val="0051236F"/>
    <w:rsid w:val="00516D40"/>
    <w:rsid w:val="005616AB"/>
    <w:rsid w:val="00571396"/>
    <w:rsid w:val="00571C3F"/>
    <w:rsid w:val="00573C0E"/>
    <w:rsid w:val="00576764"/>
    <w:rsid w:val="005C738D"/>
    <w:rsid w:val="005C7D3C"/>
    <w:rsid w:val="005E4DD3"/>
    <w:rsid w:val="00622896"/>
    <w:rsid w:val="0067371F"/>
    <w:rsid w:val="0067669C"/>
    <w:rsid w:val="00685C7C"/>
    <w:rsid w:val="00715039"/>
    <w:rsid w:val="00756927"/>
    <w:rsid w:val="00772C06"/>
    <w:rsid w:val="007B4F51"/>
    <w:rsid w:val="008457BC"/>
    <w:rsid w:val="00863A82"/>
    <w:rsid w:val="00873080"/>
    <w:rsid w:val="0087534C"/>
    <w:rsid w:val="008968B7"/>
    <w:rsid w:val="00902761"/>
    <w:rsid w:val="00907D7A"/>
    <w:rsid w:val="009174A0"/>
    <w:rsid w:val="00923854"/>
    <w:rsid w:val="00932AA3"/>
    <w:rsid w:val="00965631"/>
    <w:rsid w:val="0097065D"/>
    <w:rsid w:val="009905A7"/>
    <w:rsid w:val="00995023"/>
    <w:rsid w:val="009A099C"/>
    <w:rsid w:val="009A3DE1"/>
    <w:rsid w:val="009B2958"/>
    <w:rsid w:val="009E1E1B"/>
    <w:rsid w:val="009E3B3A"/>
    <w:rsid w:val="00A16C2F"/>
    <w:rsid w:val="00A16C8F"/>
    <w:rsid w:val="00A3536B"/>
    <w:rsid w:val="00A52AE3"/>
    <w:rsid w:val="00A848C2"/>
    <w:rsid w:val="00AC34FD"/>
    <w:rsid w:val="00AE0688"/>
    <w:rsid w:val="00AF4424"/>
    <w:rsid w:val="00B362B6"/>
    <w:rsid w:val="00B46C32"/>
    <w:rsid w:val="00B60996"/>
    <w:rsid w:val="00B86E2B"/>
    <w:rsid w:val="00B9008C"/>
    <w:rsid w:val="00B979FC"/>
    <w:rsid w:val="00BB7DE5"/>
    <w:rsid w:val="00C021DC"/>
    <w:rsid w:val="00C025D8"/>
    <w:rsid w:val="00C02CCD"/>
    <w:rsid w:val="00C15DA5"/>
    <w:rsid w:val="00C27EAD"/>
    <w:rsid w:val="00C43C3C"/>
    <w:rsid w:val="00C46EFA"/>
    <w:rsid w:val="00C50F92"/>
    <w:rsid w:val="00C60743"/>
    <w:rsid w:val="00C74B43"/>
    <w:rsid w:val="00C87853"/>
    <w:rsid w:val="00CB4F98"/>
    <w:rsid w:val="00CE56A0"/>
    <w:rsid w:val="00CF76E2"/>
    <w:rsid w:val="00D01EEE"/>
    <w:rsid w:val="00D13062"/>
    <w:rsid w:val="00D14B82"/>
    <w:rsid w:val="00D15B45"/>
    <w:rsid w:val="00D220CD"/>
    <w:rsid w:val="00D307A9"/>
    <w:rsid w:val="00D95C6D"/>
    <w:rsid w:val="00DB7DD8"/>
    <w:rsid w:val="00DD49A2"/>
    <w:rsid w:val="00DD517B"/>
    <w:rsid w:val="00DE29B5"/>
    <w:rsid w:val="00DF4769"/>
    <w:rsid w:val="00E076AE"/>
    <w:rsid w:val="00E277F4"/>
    <w:rsid w:val="00E31B70"/>
    <w:rsid w:val="00E409B0"/>
    <w:rsid w:val="00E5725A"/>
    <w:rsid w:val="00E63EC2"/>
    <w:rsid w:val="00E67BCA"/>
    <w:rsid w:val="00E768D0"/>
    <w:rsid w:val="00EA2350"/>
    <w:rsid w:val="00EE78F0"/>
    <w:rsid w:val="00EF4546"/>
    <w:rsid w:val="00F17318"/>
    <w:rsid w:val="00F27F06"/>
    <w:rsid w:val="00F34E10"/>
    <w:rsid w:val="00F744ED"/>
    <w:rsid w:val="00F8091B"/>
    <w:rsid w:val="00F81969"/>
    <w:rsid w:val="00FA6207"/>
    <w:rsid w:val="00FA7748"/>
    <w:rsid w:val="00FC0871"/>
    <w:rsid w:val="00F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C7FF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45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AC34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3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C3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C34F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90F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290FA5"/>
    <w:pPr>
      <w:tabs>
        <w:tab w:val="center" w:pos="4153"/>
        <w:tab w:val="right" w:pos="8306"/>
      </w:tabs>
    </w:pPr>
  </w:style>
  <w:style w:type="paragraph" w:customStyle="1" w:styleId="DHSHeadinglevel1">
    <w:name w:val="DHS Heading level 1"/>
    <w:basedOn w:val="Heading1"/>
    <w:next w:val="DHSbodytext"/>
    <w:qFormat/>
    <w:rsid w:val="00995023"/>
    <w:pPr>
      <w:spacing w:before="60" w:after="240"/>
    </w:pPr>
    <w:rPr>
      <w:rFonts w:ascii="Arial" w:hAnsi="Arial" w:cs="Arial"/>
      <w:sz w:val="40"/>
      <w:szCs w:val="40"/>
    </w:rPr>
  </w:style>
  <w:style w:type="paragraph" w:customStyle="1" w:styleId="DHSHeadinglevel2">
    <w:name w:val="DHS Heading level 2"/>
    <w:basedOn w:val="Heading2"/>
    <w:next w:val="DHSbodytext"/>
    <w:qFormat/>
    <w:rsid w:val="00995023"/>
    <w:pPr>
      <w:spacing w:before="60" w:after="240"/>
    </w:pPr>
    <w:rPr>
      <w:rFonts w:ascii="Arial" w:hAnsi="Arial" w:cs="Arial"/>
      <w:i w:val="0"/>
      <w:color w:val="000000"/>
      <w:sz w:val="32"/>
    </w:rPr>
  </w:style>
  <w:style w:type="paragraph" w:customStyle="1" w:styleId="DHSHeadinglevel3">
    <w:name w:val="DHS Heading level 3"/>
    <w:basedOn w:val="Heading3"/>
    <w:next w:val="DHSbodytext"/>
    <w:qFormat/>
    <w:rsid w:val="00995023"/>
    <w:pPr>
      <w:spacing w:before="60" w:after="120"/>
    </w:pPr>
    <w:rPr>
      <w:rFonts w:ascii="Arial" w:hAnsi="Arial" w:cs="Arial"/>
      <w:b w:val="0"/>
      <w:sz w:val="28"/>
    </w:rPr>
  </w:style>
  <w:style w:type="paragraph" w:customStyle="1" w:styleId="DHSHeadinglevel4">
    <w:name w:val="DHS Heading level 4"/>
    <w:basedOn w:val="Heading4"/>
    <w:next w:val="DHSbodytext"/>
    <w:qFormat/>
    <w:rsid w:val="00995023"/>
    <w:pPr>
      <w:spacing w:before="60" w:after="120"/>
    </w:pPr>
    <w:rPr>
      <w:rFonts w:ascii="Arial" w:hAnsi="Arial" w:cs="Arial"/>
      <w:b w:val="0"/>
      <w:sz w:val="24"/>
      <w:szCs w:val="22"/>
    </w:rPr>
  </w:style>
  <w:style w:type="paragraph" w:customStyle="1" w:styleId="DHSbodytext">
    <w:name w:val="DHS body text"/>
    <w:basedOn w:val="Normal"/>
    <w:qFormat/>
    <w:rsid w:val="00C025D8"/>
    <w:pPr>
      <w:spacing w:after="120"/>
    </w:pPr>
    <w:rPr>
      <w:rFonts w:ascii="Arial" w:hAnsi="Arial" w:cs="Arial"/>
      <w:sz w:val="22"/>
      <w:szCs w:val="22"/>
    </w:rPr>
  </w:style>
  <w:style w:type="paragraph" w:customStyle="1" w:styleId="DHSBulletslevel1">
    <w:name w:val="DHS Bullets level 1"/>
    <w:basedOn w:val="Normal"/>
    <w:link w:val="DHSBulletslevel1Char"/>
    <w:qFormat/>
    <w:rsid w:val="00C025D8"/>
    <w:pPr>
      <w:numPr>
        <w:numId w:val="5"/>
      </w:numPr>
      <w:spacing w:after="120"/>
    </w:pPr>
    <w:rPr>
      <w:rFonts w:ascii="Arial" w:hAnsi="Arial" w:cs="Arial"/>
      <w:sz w:val="22"/>
      <w:szCs w:val="22"/>
    </w:rPr>
  </w:style>
  <w:style w:type="character" w:customStyle="1" w:styleId="DHSBulletslevel1Char">
    <w:name w:val="DHS Bullets level 1 Char"/>
    <w:link w:val="DHSBulletslevel1"/>
    <w:rsid w:val="00DD517B"/>
    <w:rPr>
      <w:rFonts w:ascii="Arial" w:hAnsi="Arial" w:cs="Arial"/>
      <w:sz w:val="22"/>
      <w:szCs w:val="22"/>
    </w:rPr>
  </w:style>
  <w:style w:type="paragraph" w:customStyle="1" w:styleId="DHSBulletslevel2">
    <w:name w:val="DHS Bullets level 2"/>
    <w:basedOn w:val="DHSBulletslevel1"/>
    <w:rsid w:val="00772C06"/>
    <w:pPr>
      <w:numPr>
        <w:numId w:val="6"/>
      </w:numPr>
      <w:ind w:left="680" w:hanging="340"/>
    </w:pPr>
  </w:style>
  <w:style w:type="paragraph" w:styleId="TOC1">
    <w:name w:val="toc 1"/>
    <w:basedOn w:val="Normal"/>
    <w:next w:val="Normal"/>
    <w:autoRedefine/>
    <w:semiHidden/>
    <w:rsid w:val="009E3B3A"/>
    <w:pPr>
      <w:spacing w:after="120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autoRedefine/>
    <w:semiHidden/>
    <w:rsid w:val="009E3B3A"/>
    <w:pPr>
      <w:spacing w:after="120"/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semiHidden/>
    <w:rsid w:val="00685C7C"/>
    <w:pPr>
      <w:spacing w:after="120"/>
      <w:ind w:left="482"/>
    </w:pPr>
    <w:rPr>
      <w:rFonts w:ascii="Arial" w:hAnsi="Arial"/>
      <w:sz w:val="22"/>
    </w:rPr>
  </w:style>
  <w:style w:type="character" w:styleId="Hyperlink">
    <w:name w:val="Hyperlink"/>
    <w:rsid w:val="009E3B3A"/>
    <w:rPr>
      <w:color w:val="0000FF"/>
      <w:u w:val="single"/>
    </w:rPr>
  </w:style>
  <w:style w:type="paragraph" w:customStyle="1" w:styleId="DHSNumberslevel1">
    <w:name w:val="DHS Numbers level 1"/>
    <w:basedOn w:val="DHSBulletslevel1"/>
    <w:rsid w:val="00772C06"/>
    <w:pPr>
      <w:numPr>
        <w:numId w:val="7"/>
      </w:numPr>
      <w:ind w:left="357" w:hanging="357"/>
    </w:pPr>
  </w:style>
  <w:style w:type="paragraph" w:customStyle="1" w:styleId="DHSNumberslevel2">
    <w:name w:val="DHS Numbers level 2"/>
    <w:basedOn w:val="DHSNumberslevel1"/>
    <w:rsid w:val="00772C06"/>
    <w:pPr>
      <w:numPr>
        <w:numId w:val="8"/>
      </w:numPr>
      <w:ind w:left="680" w:hanging="340"/>
    </w:pPr>
  </w:style>
  <w:style w:type="character" w:customStyle="1" w:styleId="Heading1Char">
    <w:name w:val="Heading 1 Char"/>
    <w:link w:val="Heading1"/>
    <w:rsid w:val="00AC34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AC3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AC34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AC34FD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E54BF"/>
    <w:pPr>
      <w:ind w:left="720"/>
      <w:contextualSpacing/>
    </w:pPr>
  </w:style>
  <w:style w:type="character" w:styleId="CommentReference">
    <w:name w:val="annotation reference"/>
    <w:basedOn w:val="DefaultParagraphFont"/>
    <w:rsid w:val="002E54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5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54BF"/>
  </w:style>
  <w:style w:type="paragraph" w:styleId="CommentSubject">
    <w:name w:val="annotation subject"/>
    <w:basedOn w:val="CommentText"/>
    <w:next w:val="CommentText"/>
    <w:link w:val="CommentSubjectChar"/>
    <w:rsid w:val="002E5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54BF"/>
    <w:rPr>
      <w:b/>
      <w:bCs/>
    </w:rPr>
  </w:style>
  <w:style w:type="paragraph" w:styleId="BalloonText">
    <w:name w:val="Balloon Text"/>
    <w:basedOn w:val="Normal"/>
    <w:link w:val="BalloonTextChar"/>
    <w:rsid w:val="002E5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54BF"/>
    <w:rPr>
      <w:rFonts w:ascii="Segoe UI" w:hAnsi="Segoe UI" w:cs="Segoe UI"/>
      <w:sz w:val="18"/>
      <w:szCs w:val="18"/>
    </w:rPr>
  </w:style>
  <w:style w:type="paragraph" w:customStyle="1" w:styleId="02Heading">
    <w:name w:val="02 Heading"/>
    <w:basedOn w:val="Normal"/>
    <w:qFormat/>
    <w:rsid w:val="00EF4546"/>
    <w:pPr>
      <w:keepNext/>
      <w:keepLines/>
      <w:widowControl w:val="0"/>
      <w:suppressAutoHyphens/>
      <w:autoSpaceDE w:val="0"/>
      <w:autoSpaceDN w:val="0"/>
      <w:adjustRightInd w:val="0"/>
      <w:spacing w:before="120" w:after="200" w:line="480" w:lineRule="atLeast"/>
    </w:pPr>
    <w:rPr>
      <w:rFonts w:ascii="Arial" w:hAnsi="Arial"/>
      <w:b/>
      <w:color w:val="000000"/>
      <w:sz w:val="28"/>
      <w:szCs w:val="72"/>
      <w:lang w:val="en-US" w:eastAsia="en-US"/>
    </w:rPr>
  </w:style>
  <w:style w:type="character" w:customStyle="1" w:styleId="bumpedfont15">
    <w:name w:val="bumpedfont15"/>
    <w:basedOn w:val="DefaultParagraphFont"/>
    <w:rsid w:val="00B9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s.gov.au/our-responsibilities/settlement-and-multicultural-affairs/programs-policy/settle-in-australia/help-with-english/free-translating-servi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umanservices.gov.au/yourlanguage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5C304-60F7-49DE-AAF3-61FD43D6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factsheet</vt:lpstr>
    </vt:vector>
  </TitlesOfParts>
  <Manager/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factsheet</dc:title>
  <dc:subject/>
  <dc:creator/>
  <cp:keywords/>
  <dc:description/>
  <cp:lastModifiedBy/>
  <cp:revision>1</cp:revision>
  <dcterms:created xsi:type="dcterms:W3CDTF">2016-09-19T23:20:00Z</dcterms:created>
  <dcterms:modified xsi:type="dcterms:W3CDTF">2016-09-19T23:31:00Z</dcterms:modified>
</cp:coreProperties>
</file>