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7D27" w14:textId="460BABEF" w:rsidR="00D50671" w:rsidRDefault="00D56FAF">
      <w:pPr>
        <w:rPr>
          <w:lang w:val="en-US"/>
        </w:rPr>
      </w:pPr>
      <w:r>
        <w:rPr>
          <w:lang w:val="en-US"/>
        </w:rPr>
        <w:t xml:space="preserve">In this study, </w:t>
      </w:r>
      <w:r w:rsidR="00454BF1">
        <w:rPr>
          <w:lang w:val="en-US"/>
        </w:rPr>
        <w:t xml:space="preserve">daily </w:t>
      </w:r>
      <w:r>
        <w:rPr>
          <w:lang w:val="en-US"/>
        </w:rPr>
        <w:t>data on the closing values of the S&amp;P 500 Index from 03-01-2022 to 03-08-2023</w:t>
      </w:r>
      <w:r w:rsidR="00022546">
        <w:rPr>
          <w:lang w:val="en-US"/>
        </w:rPr>
        <w:t xml:space="preserve"> (398 observations)</w:t>
      </w:r>
      <w:r>
        <w:rPr>
          <w:lang w:val="en-US"/>
        </w:rPr>
        <w:t xml:space="preserve"> h</w:t>
      </w:r>
      <w:r w:rsidR="003B4A8C">
        <w:rPr>
          <w:lang w:val="en-US"/>
        </w:rPr>
        <w:t xml:space="preserve">ave </w:t>
      </w:r>
      <w:r>
        <w:rPr>
          <w:lang w:val="en-US"/>
        </w:rPr>
        <w:t xml:space="preserve">been used. </w:t>
      </w:r>
      <w:r w:rsidR="0093045C">
        <w:rPr>
          <w:lang w:val="en-US"/>
        </w:rPr>
        <w:t xml:space="preserve">The return on the index has been calculated from these values. </w:t>
      </w:r>
      <w:r w:rsidR="00FD4A21">
        <w:rPr>
          <w:lang w:val="en-US"/>
        </w:rPr>
        <w:t>The days on which the index has gone up as compared to the previous day</w:t>
      </w:r>
      <w:r w:rsidR="002B4040">
        <w:rPr>
          <w:lang w:val="en-US"/>
        </w:rPr>
        <w:t xml:space="preserve">, have been marked as “Up”. The days on which the index has gone down as compared to the previous day, have been marked as “Down”. </w:t>
      </w:r>
      <w:r w:rsidR="00F63B8B">
        <w:rPr>
          <w:lang w:val="en-US"/>
        </w:rPr>
        <w:t xml:space="preserve">In another column we note down the return on the index that occurred one day previous to the current date (the return being calculated by comparing the closing value of the </w:t>
      </w:r>
      <w:proofErr w:type="gramStart"/>
      <w:r w:rsidR="00F63B8B">
        <w:rPr>
          <w:lang w:val="en-US"/>
        </w:rPr>
        <w:t>1 day</w:t>
      </w:r>
      <w:proofErr w:type="gramEnd"/>
      <w:r w:rsidR="00F63B8B">
        <w:rPr>
          <w:lang w:val="en-US"/>
        </w:rPr>
        <w:t xml:space="preserve"> previous date with the closing value that occurred one day prior to the 1 day previous date). So</w:t>
      </w:r>
      <w:r w:rsidR="00DE405E">
        <w:rPr>
          <w:lang w:val="en-US"/>
        </w:rPr>
        <w:t>,</w:t>
      </w:r>
      <w:r w:rsidR="00F63B8B">
        <w:rPr>
          <w:lang w:val="en-US"/>
        </w:rPr>
        <w:t xml:space="preserve"> for the days marked as “Up”, we get a series of 1-day previous returns and for the days marked by “Down” we get a series of 1-day previous returns. </w:t>
      </w:r>
      <w:r w:rsidR="00A15DE8">
        <w:rPr>
          <w:lang w:val="en-US"/>
        </w:rPr>
        <w:t xml:space="preserve">Similarly, in another column we note down the return on the index that occurred 3-day previous to the current date (the return being calculated by comparing the closing value of the </w:t>
      </w:r>
      <w:proofErr w:type="gramStart"/>
      <w:r w:rsidR="00A15DE8">
        <w:rPr>
          <w:lang w:val="en-US"/>
        </w:rPr>
        <w:t>3 day</w:t>
      </w:r>
      <w:proofErr w:type="gramEnd"/>
      <w:r w:rsidR="00A15DE8">
        <w:rPr>
          <w:lang w:val="en-US"/>
        </w:rPr>
        <w:t xml:space="preserve"> previous date with the closing value that occurred one day prior to the 3 day previous date).</w:t>
      </w:r>
      <w:r w:rsidR="0063693D">
        <w:rPr>
          <w:lang w:val="en-US"/>
        </w:rPr>
        <w:t xml:space="preserve"> The goal of the exercise is to see if the descriptive statistics (median,</w:t>
      </w:r>
      <w:r w:rsidR="00206485">
        <w:rPr>
          <w:lang w:val="en-US"/>
        </w:rPr>
        <w:t xml:space="preserve"> sample</w:t>
      </w:r>
      <w:r w:rsidR="0063693D">
        <w:rPr>
          <w:lang w:val="en-US"/>
        </w:rPr>
        <w:t xml:space="preserve"> </w:t>
      </w:r>
      <w:proofErr w:type="spellStart"/>
      <w:r w:rsidR="0063693D">
        <w:rPr>
          <w:lang w:val="en-US"/>
        </w:rPr>
        <w:t>s.d.</w:t>
      </w:r>
      <w:proofErr w:type="spellEnd"/>
      <w:r w:rsidR="0063693D">
        <w:rPr>
          <w:lang w:val="en-US"/>
        </w:rPr>
        <w:t xml:space="preserve">, skewness and kurtosis) </w:t>
      </w:r>
      <w:r w:rsidR="00DE405E">
        <w:rPr>
          <w:lang w:val="en-US"/>
        </w:rPr>
        <w:t>of the 1-day previous return differ between the days on which the market was “Up” and the days when the market was “Down”; and to see if the descriptive statistics of the 3-day previous return differ between the days on which the market was “Up” and the days when the market was “Down”.</w:t>
      </w:r>
      <w:r w:rsidR="001F7336">
        <w:rPr>
          <w:lang w:val="en-US"/>
        </w:rPr>
        <w:t xml:space="preserve"> Also, the goal is to see if the descriptive statistics for the ‘Up’ and ‘Down’ series differ when the outliers are removed.</w:t>
      </w:r>
    </w:p>
    <w:p w14:paraId="07C30488" w14:textId="77777777" w:rsidR="0063693D" w:rsidRDefault="0063693D">
      <w:pPr>
        <w:rPr>
          <w:lang w:val="en-US"/>
        </w:rPr>
      </w:pPr>
      <w:r>
        <w:rPr>
          <w:lang w:val="en-US"/>
        </w:rPr>
        <w:t xml:space="preserve">The box plot of the 1-day previous return for the </w:t>
      </w:r>
      <w:r w:rsidR="00EA142E">
        <w:rPr>
          <w:lang w:val="en-US"/>
        </w:rPr>
        <w:t>days when the market was “Up” and the days when the market was “Down” has been given below.</w:t>
      </w:r>
    </w:p>
    <w:p w14:paraId="5F919432" w14:textId="77777777" w:rsidR="00EA142E" w:rsidRDefault="00EA142E" w:rsidP="00EA142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D3EDB" wp14:editId="1F31221D">
            <wp:extent cx="3857625" cy="3849986"/>
            <wp:effectExtent l="19050" t="19050" r="9525" b="17780"/>
            <wp:docPr id="114003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38920" name="Picture 1140038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93" cy="38575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EF243E" w14:textId="77777777" w:rsidR="00B24DF7" w:rsidRDefault="00B24DF7" w:rsidP="00EA142E">
      <w:pPr>
        <w:rPr>
          <w:lang w:val="en-US"/>
        </w:rPr>
      </w:pPr>
    </w:p>
    <w:p w14:paraId="674E55CF" w14:textId="77777777" w:rsidR="00EA142E" w:rsidRDefault="00EA142E" w:rsidP="00EA142E">
      <w:pPr>
        <w:rPr>
          <w:lang w:val="en-US"/>
        </w:rPr>
      </w:pPr>
      <w:r>
        <w:rPr>
          <w:lang w:val="en-US"/>
        </w:rPr>
        <w:t>From the boxplot we find that there are 2 outliers for the series corresponding to “Down” and 5 outliers for the series corresponding to “Up”.</w:t>
      </w:r>
    </w:p>
    <w:p w14:paraId="433EC6A2" w14:textId="77777777" w:rsidR="00DC4DF1" w:rsidRDefault="00DC4DF1" w:rsidP="00EA142E">
      <w:pPr>
        <w:rPr>
          <w:lang w:val="en-US"/>
        </w:rPr>
      </w:pPr>
    </w:p>
    <w:p w14:paraId="5A5705EC" w14:textId="77777777" w:rsidR="00DC4DF1" w:rsidRDefault="00DC4DF1" w:rsidP="00EA142E">
      <w:pPr>
        <w:rPr>
          <w:lang w:val="en-US"/>
        </w:rPr>
      </w:pPr>
    </w:p>
    <w:p w14:paraId="578B1D1A" w14:textId="77777777" w:rsidR="00DC4DF1" w:rsidRDefault="00CE19CB" w:rsidP="00EA142E">
      <w:pPr>
        <w:rPr>
          <w:lang w:val="en-US"/>
        </w:rPr>
      </w:pPr>
      <w:r>
        <w:rPr>
          <w:lang w:val="en-US"/>
        </w:rPr>
        <w:t>The histogram of the 1-day previous return (including these outliers) for the days when the market was “Up” and the days when the market was “Down” has been given below.</w:t>
      </w:r>
    </w:p>
    <w:p w14:paraId="0EE85DA4" w14:textId="77777777" w:rsidR="00CE19CB" w:rsidRDefault="00CE19CB" w:rsidP="00EA142E">
      <w:pPr>
        <w:rPr>
          <w:lang w:val="en-US"/>
        </w:rPr>
      </w:pPr>
    </w:p>
    <w:p w14:paraId="035D2556" w14:textId="77777777" w:rsidR="00CE19CB" w:rsidRDefault="00CE19CB" w:rsidP="00CE19C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6821C" wp14:editId="1DEA4244">
            <wp:extent cx="4810125" cy="3987800"/>
            <wp:effectExtent l="19050" t="19050" r="28575" b="12700"/>
            <wp:docPr id="603966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66305" name="Picture 6039663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8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4FF6D0" w14:textId="77777777" w:rsidR="00B24DF7" w:rsidRDefault="00B24DF7" w:rsidP="00EA142E">
      <w:pPr>
        <w:rPr>
          <w:lang w:val="en-US"/>
        </w:rPr>
      </w:pPr>
    </w:p>
    <w:p w14:paraId="27BC7576" w14:textId="77777777" w:rsidR="00CE19CB" w:rsidRDefault="00947C94" w:rsidP="00EA142E">
      <w:pPr>
        <w:rPr>
          <w:lang w:val="en-US"/>
        </w:rPr>
      </w:pPr>
      <w:r>
        <w:rPr>
          <w:lang w:val="en-US"/>
        </w:rPr>
        <w:t xml:space="preserve">The descriptive statistics for the 1-day previous return </w:t>
      </w:r>
      <w:r w:rsidR="009963D4">
        <w:rPr>
          <w:lang w:val="en-US"/>
        </w:rPr>
        <w:t xml:space="preserve">(with outliers) </w:t>
      </w:r>
      <w:r>
        <w:rPr>
          <w:lang w:val="en-US"/>
        </w:rPr>
        <w:t>has been shown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4DF7" w:rsidRPr="00B24DF7" w14:paraId="62EAA6B7" w14:textId="77777777" w:rsidTr="00B24DF7">
        <w:trPr>
          <w:jc w:val="center"/>
        </w:trPr>
        <w:tc>
          <w:tcPr>
            <w:tcW w:w="3005" w:type="dxa"/>
          </w:tcPr>
          <w:p w14:paraId="03F2F8ED" w14:textId="77777777" w:rsidR="00B24DF7" w:rsidRPr="00B24DF7" w:rsidRDefault="00B24DF7" w:rsidP="00B24D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Measure</w:t>
            </w:r>
          </w:p>
        </w:tc>
        <w:tc>
          <w:tcPr>
            <w:tcW w:w="3005" w:type="dxa"/>
          </w:tcPr>
          <w:p w14:paraId="1B445366" w14:textId="77777777" w:rsidR="00B24DF7" w:rsidRPr="00B24DF7" w:rsidRDefault="00B24DF7" w:rsidP="00B24D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Down</w:t>
            </w:r>
          </w:p>
        </w:tc>
        <w:tc>
          <w:tcPr>
            <w:tcW w:w="3006" w:type="dxa"/>
          </w:tcPr>
          <w:p w14:paraId="2740257B" w14:textId="77777777" w:rsidR="00B24DF7" w:rsidRPr="00B24DF7" w:rsidRDefault="00B24DF7" w:rsidP="00B24D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B24DF7" w:rsidRPr="00B24DF7" w14:paraId="56A7857A" w14:textId="77777777" w:rsidTr="00B24DF7">
        <w:trPr>
          <w:jc w:val="center"/>
        </w:trPr>
        <w:tc>
          <w:tcPr>
            <w:tcW w:w="3005" w:type="dxa"/>
          </w:tcPr>
          <w:p w14:paraId="5F0A9BD0" w14:textId="77777777" w:rsidR="00B24DF7" w:rsidRPr="00B24DF7" w:rsidRDefault="00B24DF7" w:rsidP="00B24D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Median</w:t>
            </w:r>
          </w:p>
        </w:tc>
        <w:tc>
          <w:tcPr>
            <w:tcW w:w="3005" w:type="dxa"/>
          </w:tcPr>
          <w:p w14:paraId="35085288" w14:textId="77777777" w:rsidR="00B24DF7" w:rsidRPr="00B24DF7" w:rsidRDefault="004D00EC" w:rsidP="00B24D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-0.0502</w:t>
            </w:r>
            <w:r w:rsidR="00D4093E"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3006" w:type="dxa"/>
          </w:tcPr>
          <w:p w14:paraId="1B52E853" w14:textId="77777777" w:rsidR="00B24DF7" w:rsidRPr="00B24DF7" w:rsidRDefault="004D00EC" w:rsidP="00B24DF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-0.0896</w:t>
            </w:r>
            <w:r w:rsidR="00D4093E">
              <w:rPr>
                <w:sz w:val="18"/>
                <w:szCs w:val="18"/>
                <w:lang w:val="en-US"/>
              </w:rPr>
              <w:t>%</w:t>
            </w:r>
          </w:p>
        </w:tc>
      </w:tr>
      <w:tr w:rsidR="00B24DF7" w:rsidRPr="00B24DF7" w14:paraId="06B8F230" w14:textId="77777777" w:rsidTr="00B24DF7">
        <w:trPr>
          <w:jc w:val="center"/>
        </w:trPr>
        <w:tc>
          <w:tcPr>
            <w:tcW w:w="3005" w:type="dxa"/>
          </w:tcPr>
          <w:p w14:paraId="73B8848A" w14:textId="77777777" w:rsidR="00B24DF7" w:rsidRPr="00B24DF7" w:rsidRDefault="004D00EC" w:rsidP="004D00E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Sample </w:t>
            </w:r>
            <w:proofErr w:type="spellStart"/>
            <w:r>
              <w:rPr>
                <w:sz w:val="18"/>
                <w:szCs w:val="18"/>
                <w:lang w:val="en-US"/>
              </w:rPr>
              <w:t>s.d.</w:t>
            </w:r>
            <w:proofErr w:type="spellEnd"/>
          </w:p>
        </w:tc>
        <w:tc>
          <w:tcPr>
            <w:tcW w:w="3005" w:type="dxa"/>
          </w:tcPr>
          <w:p w14:paraId="08C19F91" w14:textId="77777777" w:rsidR="00B24DF7" w:rsidRPr="00B24DF7" w:rsidRDefault="004D00EC" w:rsidP="004D00E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1.3678</w:t>
            </w:r>
            <w:r w:rsidR="009963D4"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3006" w:type="dxa"/>
          </w:tcPr>
          <w:p w14:paraId="071333DA" w14:textId="77777777" w:rsidR="00B24DF7" w:rsidRPr="00B24DF7" w:rsidRDefault="004D00EC" w:rsidP="004D00E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1.2748</w:t>
            </w:r>
            <w:r w:rsidR="009963D4">
              <w:rPr>
                <w:sz w:val="18"/>
                <w:szCs w:val="18"/>
                <w:lang w:val="en-US"/>
              </w:rPr>
              <w:t>%</w:t>
            </w:r>
          </w:p>
        </w:tc>
      </w:tr>
      <w:tr w:rsidR="00B24DF7" w:rsidRPr="00B24DF7" w14:paraId="001C9122" w14:textId="77777777" w:rsidTr="00B24DF7">
        <w:trPr>
          <w:jc w:val="center"/>
        </w:trPr>
        <w:tc>
          <w:tcPr>
            <w:tcW w:w="3005" w:type="dxa"/>
          </w:tcPr>
          <w:p w14:paraId="002FD390" w14:textId="77777777" w:rsidR="00B24DF7" w:rsidRPr="00B24DF7" w:rsidRDefault="004D00EC" w:rsidP="004D00E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Skewness</w:t>
            </w:r>
          </w:p>
        </w:tc>
        <w:tc>
          <w:tcPr>
            <w:tcW w:w="3005" w:type="dxa"/>
          </w:tcPr>
          <w:p w14:paraId="45D3F0A9" w14:textId="77777777" w:rsidR="00B24DF7" w:rsidRPr="00B24DF7" w:rsidRDefault="00406FA0" w:rsidP="004D00E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-0.1121</w:t>
            </w:r>
          </w:p>
        </w:tc>
        <w:tc>
          <w:tcPr>
            <w:tcW w:w="3006" w:type="dxa"/>
          </w:tcPr>
          <w:p w14:paraId="6EC469D2" w14:textId="77777777" w:rsidR="00B24DF7" w:rsidRPr="00B24DF7" w:rsidRDefault="00406FA0" w:rsidP="00406FA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0.0735</w:t>
            </w:r>
          </w:p>
        </w:tc>
      </w:tr>
      <w:tr w:rsidR="00B24DF7" w:rsidRPr="00B24DF7" w14:paraId="3CE44C55" w14:textId="77777777" w:rsidTr="00B24DF7">
        <w:trPr>
          <w:jc w:val="center"/>
        </w:trPr>
        <w:tc>
          <w:tcPr>
            <w:tcW w:w="3005" w:type="dxa"/>
          </w:tcPr>
          <w:p w14:paraId="62F871EF" w14:textId="77777777" w:rsidR="00B24DF7" w:rsidRPr="00B24DF7" w:rsidRDefault="00406FA0" w:rsidP="00406FA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Kurtosis</w:t>
            </w:r>
          </w:p>
        </w:tc>
        <w:tc>
          <w:tcPr>
            <w:tcW w:w="3005" w:type="dxa"/>
          </w:tcPr>
          <w:p w14:paraId="7037BA96" w14:textId="77777777" w:rsidR="00B24DF7" w:rsidRPr="00B24DF7" w:rsidRDefault="00406FA0" w:rsidP="00406FA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3.0878</w:t>
            </w:r>
          </w:p>
        </w:tc>
        <w:tc>
          <w:tcPr>
            <w:tcW w:w="3006" w:type="dxa"/>
          </w:tcPr>
          <w:p w14:paraId="24FDEFC6" w14:textId="77777777" w:rsidR="00B24DF7" w:rsidRPr="00B24DF7" w:rsidRDefault="00406FA0" w:rsidP="00406FA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5.0670</w:t>
            </w:r>
          </w:p>
        </w:tc>
      </w:tr>
    </w:tbl>
    <w:p w14:paraId="1D5124B5" w14:textId="77777777" w:rsidR="00947C94" w:rsidRDefault="00947C94" w:rsidP="00EA142E">
      <w:pPr>
        <w:rPr>
          <w:lang w:val="en-US"/>
        </w:rPr>
      </w:pPr>
    </w:p>
    <w:p w14:paraId="4CFA06B3" w14:textId="77777777" w:rsidR="00C66F5D" w:rsidRDefault="00C66F5D" w:rsidP="00C66F5D">
      <w:pPr>
        <w:rPr>
          <w:lang w:val="en-US"/>
        </w:rPr>
      </w:pPr>
      <w:r>
        <w:rPr>
          <w:lang w:val="en-US"/>
        </w:rPr>
        <w:t>The descriptive statistics for the 1-day previous return (without outliers) has been shown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093E" w:rsidRPr="00B24DF7" w14:paraId="712429D7" w14:textId="77777777" w:rsidTr="00780C29">
        <w:trPr>
          <w:jc w:val="center"/>
        </w:trPr>
        <w:tc>
          <w:tcPr>
            <w:tcW w:w="3005" w:type="dxa"/>
          </w:tcPr>
          <w:p w14:paraId="2EDFDDCA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Measure</w:t>
            </w:r>
          </w:p>
        </w:tc>
        <w:tc>
          <w:tcPr>
            <w:tcW w:w="3005" w:type="dxa"/>
          </w:tcPr>
          <w:p w14:paraId="5D4C6346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Down</w:t>
            </w:r>
          </w:p>
        </w:tc>
        <w:tc>
          <w:tcPr>
            <w:tcW w:w="3006" w:type="dxa"/>
          </w:tcPr>
          <w:p w14:paraId="56896CEA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D4093E" w:rsidRPr="00B24DF7" w14:paraId="0FC7CF67" w14:textId="77777777" w:rsidTr="00780C29">
        <w:trPr>
          <w:jc w:val="center"/>
        </w:trPr>
        <w:tc>
          <w:tcPr>
            <w:tcW w:w="3005" w:type="dxa"/>
          </w:tcPr>
          <w:p w14:paraId="13661F55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Median</w:t>
            </w:r>
          </w:p>
        </w:tc>
        <w:tc>
          <w:tcPr>
            <w:tcW w:w="3005" w:type="dxa"/>
          </w:tcPr>
          <w:p w14:paraId="4FCCCE07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-0.0334%</w:t>
            </w:r>
          </w:p>
        </w:tc>
        <w:tc>
          <w:tcPr>
            <w:tcW w:w="3006" w:type="dxa"/>
          </w:tcPr>
          <w:p w14:paraId="7F08CDB0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-0.0705%</w:t>
            </w:r>
          </w:p>
        </w:tc>
      </w:tr>
      <w:tr w:rsidR="00D4093E" w:rsidRPr="00B24DF7" w14:paraId="26F90366" w14:textId="77777777" w:rsidTr="00780C29">
        <w:trPr>
          <w:jc w:val="center"/>
        </w:trPr>
        <w:tc>
          <w:tcPr>
            <w:tcW w:w="3005" w:type="dxa"/>
          </w:tcPr>
          <w:p w14:paraId="7F6C5CA2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Sample </w:t>
            </w:r>
            <w:proofErr w:type="spellStart"/>
            <w:r>
              <w:rPr>
                <w:sz w:val="18"/>
                <w:szCs w:val="18"/>
                <w:lang w:val="en-US"/>
              </w:rPr>
              <w:t>s.d.</w:t>
            </w:r>
            <w:proofErr w:type="spellEnd"/>
          </w:p>
        </w:tc>
        <w:tc>
          <w:tcPr>
            <w:tcW w:w="3005" w:type="dxa"/>
          </w:tcPr>
          <w:p w14:paraId="7B2AB838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1.3</w:t>
            </w:r>
            <w:r w:rsidR="008324E4">
              <w:rPr>
                <w:sz w:val="18"/>
                <w:szCs w:val="18"/>
                <w:lang w:val="en-US"/>
              </w:rPr>
              <w:t>189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3006" w:type="dxa"/>
          </w:tcPr>
          <w:p w14:paraId="30EA48D6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</w:t>
            </w:r>
            <w:r w:rsidR="008324E4">
              <w:rPr>
                <w:sz w:val="18"/>
                <w:szCs w:val="18"/>
                <w:lang w:val="en-US"/>
              </w:rPr>
              <w:t>0958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</w:tr>
      <w:tr w:rsidR="00D4093E" w:rsidRPr="00B24DF7" w14:paraId="45F886A4" w14:textId="77777777" w:rsidTr="00780C29">
        <w:trPr>
          <w:jc w:val="center"/>
        </w:trPr>
        <w:tc>
          <w:tcPr>
            <w:tcW w:w="3005" w:type="dxa"/>
          </w:tcPr>
          <w:p w14:paraId="3A0428BC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Skewness</w:t>
            </w:r>
          </w:p>
        </w:tc>
        <w:tc>
          <w:tcPr>
            <w:tcW w:w="3005" w:type="dxa"/>
          </w:tcPr>
          <w:p w14:paraId="4C9B957A" w14:textId="77777777" w:rsidR="00D4093E" w:rsidRPr="00B24DF7" w:rsidRDefault="00216D9B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0.0413</w:t>
            </w:r>
          </w:p>
        </w:tc>
        <w:tc>
          <w:tcPr>
            <w:tcW w:w="3006" w:type="dxa"/>
          </w:tcPr>
          <w:p w14:paraId="07C259B7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</w:t>
            </w:r>
            <w:r w:rsidR="00216D9B">
              <w:rPr>
                <w:sz w:val="18"/>
                <w:szCs w:val="18"/>
                <w:lang w:val="en-US"/>
              </w:rPr>
              <w:t>1274</w:t>
            </w:r>
          </w:p>
        </w:tc>
      </w:tr>
      <w:tr w:rsidR="00D4093E" w:rsidRPr="00B24DF7" w14:paraId="64A0E8CC" w14:textId="77777777" w:rsidTr="00780C29">
        <w:trPr>
          <w:jc w:val="center"/>
        </w:trPr>
        <w:tc>
          <w:tcPr>
            <w:tcW w:w="3005" w:type="dxa"/>
          </w:tcPr>
          <w:p w14:paraId="6A520E27" w14:textId="77777777" w:rsidR="00D4093E" w:rsidRPr="00B24DF7" w:rsidRDefault="00D4093E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Kurtosis</w:t>
            </w:r>
          </w:p>
        </w:tc>
        <w:tc>
          <w:tcPr>
            <w:tcW w:w="3005" w:type="dxa"/>
          </w:tcPr>
          <w:p w14:paraId="68F5E06E" w14:textId="77777777" w:rsidR="00D4093E" w:rsidRPr="00B24DF7" w:rsidRDefault="00C66F5D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2.8420</w:t>
            </w:r>
          </w:p>
        </w:tc>
        <w:tc>
          <w:tcPr>
            <w:tcW w:w="3006" w:type="dxa"/>
          </w:tcPr>
          <w:p w14:paraId="3BAFDC3D" w14:textId="77777777" w:rsidR="00D4093E" w:rsidRPr="00B24DF7" w:rsidRDefault="00C66F5D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2.9641</w:t>
            </w:r>
          </w:p>
        </w:tc>
      </w:tr>
    </w:tbl>
    <w:p w14:paraId="0C0FD5BF" w14:textId="77777777" w:rsidR="00D4093E" w:rsidRDefault="00D4093E" w:rsidP="00D4093E">
      <w:pPr>
        <w:rPr>
          <w:lang w:val="en-US"/>
        </w:rPr>
      </w:pPr>
    </w:p>
    <w:p w14:paraId="5687A89F" w14:textId="1A2D693E" w:rsidR="00947C94" w:rsidRDefault="006C4BB5" w:rsidP="00EA142E">
      <w:pPr>
        <w:rPr>
          <w:lang w:val="en-US"/>
        </w:rPr>
      </w:pPr>
      <w:r>
        <w:rPr>
          <w:lang w:val="en-US"/>
        </w:rPr>
        <w:t>The effect of removal of outliers is mainly seen in the change in the value of the kurtosis.</w:t>
      </w:r>
    </w:p>
    <w:p w14:paraId="2D5CCA5B" w14:textId="263C4049" w:rsidR="000072FA" w:rsidRDefault="000072FA" w:rsidP="000072FA">
      <w:pPr>
        <w:rPr>
          <w:lang w:val="en-US"/>
        </w:rPr>
      </w:pPr>
      <w:r>
        <w:rPr>
          <w:lang w:val="en-US"/>
        </w:rPr>
        <w:lastRenderedPageBreak/>
        <w:t>The box plot of the 3-day previous return for the days when the market was “Up” and the days when the market was “Down” has been given below.</w:t>
      </w:r>
    </w:p>
    <w:p w14:paraId="5BCBE2CB" w14:textId="77777777" w:rsidR="00DF392E" w:rsidRDefault="00DF392E" w:rsidP="00DF392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FCF93A" wp14:editId="09F20DB3">
            <wp:extent cx="4810125" cy="3810000"/>
            <wp:effectExtent l="19050" t="19050" r="28575" b="19050"/>
            <wp:docPr id="265126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6474" name="Picture 2651264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1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86881" w14:textId="77777777" w:rsidR="00DF392E" w:rsidRDefault="00DF392E" w:rsidP="00DF392E">
      <w:pPr>
        <w:rPr>
          <w:lang w:val="en-US"/>
        </w:rPr>
      </w:pPr>
    </w:p>
    <w:p w14:paraId="1E5DDFC7" w14:textId="77777777" w:rsidR="00DF392E" w:rsidRDefault="00DF392E" w:rsidP="00DF392E">
      <w:pPr>
        <w:rPr>
          <w:lang w:val="en-US"/>
        </w:rPr>
      </w:pPr>
      <w:r>
        <w:rPr>
          <w:lang w:val="en-US"/>
        </w:rPr>
        <w:t>From the boxplot we find that there are 3 outliers for the series corresponding to “Down” and 4 outliers for the series corresponding to “Up”.</w:t>
      </w:r>
    </w:p>
    <w:p w14:paraId="125E90A4" w14:textId="77777777" w:rsidR="00D64FE7" w:rsidRDefault="00D64FE7" w:rsidP="00DF392E">
      <w:pPr>
        <w:rPr>
          <w:lang w:val="en-US"/>
        </w:rPr>
      </w:pPr>
    </w:p>
    <w:p w14:paraId="50DF91A9" w14:textId="77777777" w:rsidR="00D64FE7" w:rsidRDefault="00D64FE7" w:rsidP="00DF392E">
      <w:pPr>
        <w:rPr>
          <w:lang w:val="en-US"/>
        </w:rPr>
      </w:pPr>
    </w:p>
    <w:p w14:paraId="2BE3CF12" w14:textId="77777777" w:rsidR="00D64FE7" w:rsidRDefault="00D64FE7" w:rsidP="00DF392E">
      <w:pPr>
        <w:rPr>
          <w:lang w:val="en-US"/>
        </w:rPr>
      </w:pPr>
    </w:p>
    <w:p w14:paraId="5D8BB4BD" w14:textId="77777777" w:rsidR="00D64FE7" w:rsidRDefault="00D64FE7" w:rsidP="00DF392E">
      <w:pPr>
        <w:rPr>
          <w:lang w:val="en-US"/>
        </w:rPr>
      </w:pPr>
    </w:p>
    <w:p w14:paraId="53A19046" w14:textId="77777777" w:rsidR="00D64FE7" w:rsidRDefault="00D64FE7" w:rsidP="00DF392E">
      <w:pPr>
        <w:rPr>
          <w:lang w:val="en-US"/>
        </w:rPr>
      </w:pPr>
    </w:p>
    <w:p w14:paraId="7828B08F" w14:textId="77777777" w:rsidR="00D64FE7" w:rsidRDefault="00D64FE7" w:rsidP="00DF392E">
      <w:pPr>
        <w:rPr>
          <w:lang w:val="en-US"/>
        </w:rPr>
      </w:pPr>
    </w:p>
    <w:p w14:paraId="4C0A43B4" w14:textId="77777777" w:rsidR="00D64FE7" w:rsidRDefault="00D64FE7" w:rsidP="00DF392E">
      <w:pPr>
        <w:rPr>
          <w:lang w:val="en-US"/>
        </w:rPr>
      </w:pPr>
    </w:p>
    <w:p w14:paraId="40D41DA4" w14:textId="77777777" w:rsidR="00D64FE7" w:rsidRDefault="00D64FE7" w:rsidP="00DF392E">
      <w:pPr>
        <w:rPr>
          <w:lang w:val="en-US"/>
        </w:rPr>
      </w:pPr>
    </w:p>
    <w:p w14:paraId="248200D6" w14:textId="77777777" w:rsidR="00D64FE7" w:rsidRDefault="00D64FE7" w:rsidP="00DF392E">
      <w:pPr>
        <w:rPr>
          <w:lang w:val="en-US"/>
        </w:rPr>
      </w:pPr>
    </w:p>
    <w:p w14:paraId="2A66C691" w14:textId="77777777" w:rsidR="00D64FE7" w:rsidRDefault="00D64FE7" w:rsidP="00DF392E">
      <w:pPr>
        <w:rPr>
          <w:lang w:val="en-US"/>
        </w:rPr>
      </w:pPr>
    </w:p>
    <w:p w14:paraId="43DC84B0" w14:textId="77777777" w:rsidR="00D64FE7" w:rsidRDefault="00D64FE7" w:rsidP="00DF392E">
      <w:pPr>
        <w:rPr>
          <w:lang w:val="en-US"/>
        </w:rPr>
      </w:pPr>
    </w:p>
    <w:p w14:paraId="7DDB2FDF" w14:textId="77777777" w:rsidR="00D64FE7" w:rsidRDefault="00D64FE7" w:rsidP="00DF392E">
      <w:pPr>
        <w:rPr>
          <w:lang w:val="en-US"/>
        </w:rPr>
      </w:pPr>
    </w:p>
    <w:p w14:paraId="5CC87958" w14:textId="77777777" w:rsidR="00D64FE7" w:rsidRDefault="00D64FE7" w:rsidP="00DF392E">
      <w:pPr>
        <w:rPr>
          <w:lang w:val="en-US"/>
        </w:rPr>
      </w:pPr>
    </w:p>
    <w:p w14:paraId="11E3FE36" w14:textId="77777777" w:rsidR="00DF392E" w:rsidRDefault="00D64FE7" w:rsidP="00DF392E">
      <w:pPr>
        <w:rPr>
          <w:lang w:val="en-US"/>
        </w:rPr>
      </w:pPr>
      <w:r>
        <w:rPr>
          <w:lang w:val="en-US"/>
        </w:rPr>
        <w:lastRenderedPageBreak/>
        <w:t>T</w:t>
      </w:r>
      <w:r w:rsidR="00DF392E">
        <w:rPr>
          <w:lang w:val="en-US"/>
        </w:rPr>
        <w:t>he histogram of the 3-day previous return (including these outliers) for the days when the market was “Up” and the days when the market was “Down” has been given below.</w:t>
      </w:r>
    </w:p>
    <w:p w14:paraId="729C1DE7" w14:textId="77777777" w:rsidR="00DF392E" w:rsidRDefault="00D64FE7" w:rsidP="00D64FE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44786" wp14:editId="0D389BB3">
            <wp:extent cx="4810125" cy="3759200"/>
            <wp:effectExtent l="19050" t="19050" r="28575" b="12700"/>
            <wp:docPr id="791595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95599" name="Picture 791595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5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42146" w14:textId="77777777" w:rsidR="00D64FE7" w:rsidRDefault="00D64FE7" w:rsidP="00D64FE7">
      <w:pPr>
        <w:rPr>
          <w:lang w:val="en-US"/>
        </w:rPr>
      </w:pPr>
    </w:p>
    <w:p w14:paraId="6CED6C18" w14:textId="77777777" w:rsidR="00D64FE7" w:rsidRDefault="00D64FE7" w:rsidP="00D64FE7">
      <w:pPr>
        <w:rPr>
          <w:lang w:val="en-US"/>
        </w:rPr>
      </w:pPr>
      <w:r>
        <w:rPr>
          <w:lang w:val="en-US"/>
        </w:rPr>
        <w:t>The descriptive statistics for the 3-day previous return</w:t>
      </w:r>
      <w:r w:rsidR="009963D4">
        <w:rPr>
          <w:lang w:val="en-US"/>
        </w:rPr>
        <w:t xml:space="preserve"> (with outliers)</w:t>
      </w:r>
      <w:r>
        <w:rPr>
          <w:lang w:val="en-US"/>
        </w:rPr>
        <w:t xml:space="preserve"> has been shown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FE7" w:rsidRPr="00B24DF7" w14:paraId="69EC453D" w14:textId="77777777" w:rsidTr="00140ABD">
        <w:trPr>
          <w:jc w:val="center"/>
        </w:trPr>
        <w:tc>
          <w:tcPr>
            <w:tcW w:w="3005" w:type="dxa"/>
          </w:tcPr>
          <w:p w14:paraId="6B58C39C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Measure</w:t>
            </w:r>
          </w:p>
        </w:tc>
        <w:tc>
          <w:tcPr>
            <w:tcW w:w="3005" w:type="dxa"/>
          </w:tcPr>
          <w:p w14:paraId="47553148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Down</w:t>
            </w:r>
          </w:p>
        </w:tc>
        <w:tc>
          <w:tcPr>
            <w:tcW w:w="3006" w:type="dxa"/>
          </w:tcPr>
          <w:p w14:paraId="2A506981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D64FE7" w:rsidRPr="00B24DF7" w14:paraId="612FB26F" w14:textId="77777777" w:rsidTr="00140ABD">
        <w:trPr>
          <w:jc w:val="center"/>
        </w:trPr>
        <w:tc>
          <w:tcPr>
            <w:tcW w:w="3005" w:type="dxa"/>
          </w:tcPr>
          <w:p w14:paraId="28292B06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Median</w:t>
            </w:r>
          </w:p>
        </w:tc>
        <w:tc>
          <w:tcPr>
            <w:tcW w:w="3005" w:type="dxa"/>
          </w:tcPr>
          <w:p w14:paraId="4E64544E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0A0705">
              <w:rPr>
                <w:sz w:val="18"/>
                <w:szCs w:val="18"/>
                <w:lang w:val="en-US"/>
              </w:rPr>
              <w:t>0.0803</w:t>
            </w:r>
            <w:r w:rsidR="00D4093E"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3006" w:type="dxa"/>
          </w:tcPr>
          <w:p w14:paraId="7A0306FB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</w:t>
            </w:r>
            <w:r w:rsidR="000A0705">
              <w:rPr>
                <w:sz w:val="18"/>
                <w:szCs w:val="18"/>
                <w:lang w:val="en-US"/>
              </w:rPr>
              <w:t>0394</w:t>
            </w:r>
            <w:r w:rsidR="00D4093E">
              <w:rPr>
                <w:sz w:val="18"/>
                <w:szCs w:val="18"/>
                <w:lang w:val="en-US"/>
              </w:rPr>
              <w:t>%</w:t>
            </w:r>
          </w:p>
        </w:tc>
      </w:tr>
      <w:tr w:rsidR="00D64FE7" w:rsidRPr="00B24DF7" w14:paraId="007469CC" w14:textId="77777777" w:rsidTr="00140ABD">
        <w:trPr>
          <w:jc w:val="center"/>
        </w:trPr>
        <w:tc>
          <w:tcPr>
            <w:tcW w:w="3005" w:type="dxa"/>
          </w:tcPr>
          <w:p w14:paraId="7DDD31D9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Sample </w:t>
            </w:r>
            <w:proofErr w:type="spellStart"/>
            <w:r>
              <w:rPr>
                <w:sz w:val="18"/>
                <w:szCs w:val="18"/>
                <w:lang w:val="en-US"/>
              </w:rPr>
              <w:t>s.d.</w:t>
            </w:r>
            <w:proofErr w:type="spellEnd"/>
          </w:p>
        </w:tc>
        <w:tc>
          <w:tcPr>
            <w:tcW w:w="3005" w:type="dxa"/>
          </w:tcPr>
          <w:p w14:paraId="29CE56C2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1.3</w:t>
            </w:r>
            <w:r w:rsidR="000A0705">
              <w:rPr>
                <w:sz w:val="18"/>
                <w:szCs w:val="18"/>
                <w:lang w:val="en-US"/>
              </w:rPr>
              <w:t>505</w:t>
            </w:r>
            <w:r w:rsidR="009963D4"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3006" w:type="dxa"/>
          </w:tcPr>
          <w:p w14:paraId="6BE30CF1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</w:t>
            </w:r>
            <w:r w:rsidR="000A0705">
              <w:rPr>
                <w:sz w:val="18"/>
                <w:szCs w:val="18"/>
                <w:lang w:val="en-US"/>
              </w:rPr>
              <w:t>992</w:t>
            </w:r>
            <w:r w:rsidR="009963D4">
              <w:rPr>
                <w:sz w:val="18"/>
                <w:szCs w:val="18"/>
                <w:lang w:val="en-US"/>
              </w:rPr>
              <w:t>%</w:t>
            </w:r>
          </w:p>
        </w:tc>
      </w:tr>
      <w:tr w:rsidR="00D64FE7" w:rsidRPr="00B24DF7" w14:paraId="1187073A" w14:textId="77777777" w:rsidTr="00140ABD">
        <w:trPr>
          <w:jc w:val="center"/>
        </w:trPr>
        <w:tc>
          <w:tcPr>
            <w:tcW w:w="3005" w:type="dxa"/>
          </w:tcPr>
          <w:p w14:paraId="0D0B6E7C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Skewness</w:t>
            </w:r>
          </w:p>
        </w:tc>
        <w:tc>
          <w:tcPr>
            <w:tcW w:w="3005" w:type="dxa"/>
          </w:tcPr>
          <w:p w14:paraId="0A9A4772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0A0705">
              <w:rPr>
                <w:sz w:val="18"/>
                <w:szCs w:val="18"/>
                <w:lang w:val="en-US"/>
              </w:rPr>
              <w:t>0.1260</w:t>
            </w:r>
          </w:p>
        </w:tc>
        <w:tc>
          <w:tcPr>
            <w:tcW w:w="3006" w:type="dxa"/>
          </w:tcPr>
          <w:p w14:paraId="5BB38876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0.0</w:t>
            </w:r>
            <w:r w:rsidR="000A0705">
              <w:rPr>
                <w:sz w:val="18"/>
                <w:szCs w:val="18"/>
                <w:lang w:val="en-US"/>
              </w:rPr>
              <w:t>580</w:t>
            </w:r>
          </w:p>
        </w:tc>
      </w:tr>
      <w:tr w:rsidR="00D64FE7" w:rsidRPr="00B24DF7" w14:paraId="299E4BC0" w14:textId="77777777" w:rsidTr="00140ABD">
        <w:trPr>
          <w:jc w:val="center"/>
        </w:trPr>
        <w:tc>
          <w:tcPr>
            <w:tcW w:w="3005" w:type="dxa"/>
          </w:tcPr>
          <w:p w14:paraId="042CEA88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Kurtosis</w:t>
            </w:r>
          </w:p>
        </w:tc>
        <w:tc>
          <w:tcPr>
            <w:tcW w:w="3005" w:type="dxa"/>
          </w:tcPr>
          <w:p w14:paraId="4A2E0832" w14:textId="77777777" w:rsidR="00D64FE7" w:rsidRPr="00B24DF7" w:rsidRDefault="00D64FE7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3.</w:t>
            </w:r>
            <w:r w:rsidR="000A0705">
              <w:rPr>
                <w:sz w:val="18"/>
                <w:szCs w:val="18"/>
                <w:lang w:val="en-US"/>
              </w:rPr>
              <w:t>3374</w:t>
            </w:r>
          </w:p>
        </w:tc>
        <w:tc>
          <w:tcPr>
            <w:tcW w:w="3006" w:type="dxa"/>
          </w:tcPr>
          <w:p w14:paraId="62FD471F" w14:textId="77777777" w:rsidR="00D64FE7" w:rsidRPr="00B24DF7" w:rsidRDefault="000A0705" w:rsidP="00140AB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4.6225</w:t>
            </w:r>
          </w:p>
        </w:tc>
      </w:tr>
    </w:tbl>
    <w:p w14:paraId="38CCD646" w14:textId="77777777" w:rsidR="00D64FE7" w:rsidRDefault="00D64FE7" w:rsidP="00D64FE7">
      <w:pPr>
        <w:rPr>
          <w:lang w:val="en-US"/>
        </w:rPr>
      </w:pPr>
    </w:p>
    <w:p w14:paraId="254506E2" w14:textId="77777777" w:rsidR="00F8673F" w:rsidRDefault="00F8673F" w:rsidP="00F8673F">
      <w:pPr>
        <w:rPr>
          <w:lang w:val="en-US"/>
        </w:rPr>
      </w:pPr>
      <w:r>
        <w:rPr>
          <w:lang w:val="en-US"/>
        </w:rPr>
        <w:t>The descriptive statistics for the 3-day previous return (without outliers) has been shown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1A62" w:rsidRPr="00B24DF7" w14:paraId="23C7E82F" w14:textId="77777777" w:rsidTr="00780C29">
        <w:trPr>
          <w:jc w:val="center"/>
        </w:trPr>
        <w:tc>
          <w:tcPr>
            <w:tcW w:w="3005" w:type="dxa"/>
          </w:tcPr>
          <w:p w14:paraId="6425E291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Measure</w:t>
            </w:r>
          </w:p>
        </w:tc>
        <w:tc>
          <w:tcPr>
            <w:tcW w:w="3005" w:type="dxa"/>
          </w:tcPr>
          <w:p w14:paraId="1C71C60B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Down</w:t>
            </w:r>
          </w:p>
        </w:tc>
        <w:tc>
          <w:tcPr>
            <w:tcW w:w="3006" w:type="dxa"/>
          </w:tcPr>
          <w:p w14:paraId="53C76704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2D1A62" w:rsidRPr="00B24DF7" w14:paraId="22C003A3" w14:textId="77777777" w:rsidTr="00780C29">
        <w:trPr>
          <w:jc w:val="center"/>
        </w:trPr>
        <w:tc>
          <w:tcPr>
            <w:tcW w:w="3005" w:type="dxa"/>
          </w:tcPr>
          <w:p w14:paraId="472323D9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Median</w:t>
            </w:r>
          </w:p>
        </w:tc>
        <w:tc>
          <w:tcPr>
            <w:tcW w:w="3005" w:type="dxa"/>
          </w:tcPr>
          <w:p w14:paraId="2A230E54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-0.0629%</w:t>
            </w:r>
          </w:p>
        </w:tc>
        <w:tc>
          <w:tcPr>
            <w:tcW w:w="3006" w:type="dxa"/>
          </w:tcPr>
          <w:p w14:paraId="1DE985D5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-0.0318%</w:t>
            </w:r>
          </w:p>
        </w:tc>
      </w:tr>
      <w:tr w:rsidR="002D1A62" w:rsidRPr="00B24DF7" w14:paraId="7F4656E7" w14:textId="77777777" w:rsidTr="00780C29">
        <w:trPr>
          <w:jc w:val="center"/>
        </w:trPr>
        <w:tc>
          <w:tcPr>
            <w:tcW w:w="3005" w:type="dxa"/>
          </w:tcPr>
          <w:p w14:paraId="3B585417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Sample </w:t>
            </w:r>
            <w:proofErr w:type="spellStart"/>
            <w:r>
              <w:rPr>
                <w:sz w:val="18"/>
                <w:szCs w:val="18"/>
                <w:lang w:val="en-US"/>
              </w:rPr>
              <w:t>s.d.</w:t>
            </w:r>
            <w:proofErr w:type="spellEnd"/>
          </w:p>
        </w:tc>
        <w:tc>
          <w:tcPr>
            <w:tcW w:w="3005" w:type="dxa"/>
          </w:tcPr>
          <w:p w14:paraId="469EC1F5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</w:t>
            </w:r>
            <w:r w:rsidR="008063E1">
              <w:rPr>
                <w:sz w:val="18"/>
                <w:szCs w:val="18"/>
                <w:lang w:val="en-US"/>
              </w:rPr>
              <w:t>2770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3006" w:type="dxa"/>
          </w:tcPr>
          <w:p w14:paraId="5383B868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</w:t>
            </w:r>
            <w:r w:rsidR="008063E1">
              <w:rPr>
                <w:sz w:val="18"/>
                <w:szCs w:val="18"/>
                <w:lang w:val="en-US"/>
              </w:rPr>
              <w:t>1486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</w:tr>
      <w:tr w:rsidR="002D1A62" w:rsidRPr="00B24DF7" w14:paraId="1F9E3391" w14:textId="77777777" w:rsidTr="00780C29">
        <w:trPr>
          <w:jc w:val="center"/>
        </w:trPr>
        <w:tc>
          <w:tcPr>
            <w:tcW w:w="3005" w:type="dxa"/>
          </w:tcPr>
          <w:p w14:paraId="4880D60D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Skewness</w:t>
            </w:r>
          </w:p>
        </w:tc>
        <w:tc>
          <w:tcPr>
            <w:tcW w:w="3005" w:type="dxa"/>
          </w:tcPr>
          <w:p w14:paraId="11A08D90" w14:textId="77777777" w:rsidR="002D1A62" w:rsidRPr="00B24DF7" w:rsidRDefault="00D025EA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0.1240</w:t>
            </w:r>
          </w:p>
        </w:tc>
        <w:tc>
          <w:tcPr>
            <w:tcW w:w="3006" w:type="dxa"/>
          </w:tcPr>
          <w:p w14:paraId="576382CF" w14:textId="77777777" w:rsidR="002D1A62" w:rsidRPr="00B24DF7" w:rsidRDefault="00D025EA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-0.0116</w:t>
            </w:r>
          </w:p>
        </w:tc>
      </w:tr>
      <w:tr w:rsidR="002D1A62" w:rsidRPr="00B24DF7" w14:paraId="4D23967C" w14:textId="77777777" w:rsidTr="00780C29">
        <w:trPr>
          <w:jc w:val="center"/>
        </w:trPr>
        <w:tc>
          <w:tcPr>
            <w:tcW w:w="3005" w:type="dxa"/>
          </w:tcPr>
          <w:p w14:paraId="132CF887" w14:textId="77777777" w:rsidR="002D1A62" w:rsidRPr="00B24DF7" w:rsidRDefault="002D1A62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Kurtosis</w:t>
            </w:r>
          </w:p>
        </w:tc>
        <w:tc>
          <w:tcPr>
            <w:tcW w:w="3005" w:type="dxa"/>
          </w:tcPr>
          <w:p w14:paraId="3F470505" w14:textId="77777777" w:rsidR="002D1A62" w:rsidRPr="00B24DF7" w:rsidRDefault="00D025EA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2.9456</w:t>
            </w:r>
          </w:p>
        </w:tc>
        <w:tc>
          <w:tcPr>
            <w:tcW w:w="3006" w:type="dxa"/>
          </w:tcPr>
          <w:p w14:paraId="22987094" w14:textId="77777777" w:rsidR="002D1A62" w:rsidRPr="00B24DF7" w:rsidRDefault="00D025EA" w:rsidP="00780C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2.8036</w:t>
            </w:r>
          </w:p>
        </w:tc>
      </w:tr>
    </w:tbl>
    <w:p w14:paraId="69510024" w14:textId="77777777" w:rsidR="002D1A62" w:rsidRDefault="002D1A62" w:rsidP="00DF392E">
      <w:pPr>
        <w:rPr>
          <w:lang w:val="en-US"/>
        </w:rPr>
      </w:pPr>
    </w:p>
    <w:p w14:paraId="291C7AC9" w14:textId="77777777" w:rsidR="006C4BB5" w:rsidRDefault="006C4BB5" w:rsidP="006C4BB5">
      <w:pPr>
        <w:rPr>
          <w:lang w:val="en-US"/>
        </w:rPr>
      </w:pPr>
      <w:r>
        <w:rPr>
          <w:lang w:val="en-US"/>
        </w:rPr>
        <w:t>The effect of removal of outliers is mainly seen in the change in the value of the kurtosis.</w:t>
      </w:r>
    </w:p>
    <w:p w14:paraId="637F50E6" w14:textId="77777777" w:rsidR="00DF392E" w:rsidRDefault="00DF392E" w:rsidP="00DF392E">
      <w:pPr>
        <w:rPr>
          <w:lang w:val="en-US"/>
        </w:rPr>
      </w:pPr>
    </w:p>
    <w:p w14:paraId="264F7002" w14:textId="77777777" w:rsidR="000072FA" w:rsidRDefault="000072FA" w:rsidP="00EA142E">
      <w:pPr>
        <w:rPr>
          <w:lang w:val="en-US"/>
        </w:rPr>
      </w:pPr>
    </w:p>
    <w:p w14:paraId="5088B825" w14:textId="77777777" w:rsidR="00DC4DF1" w:rsidRPr="00D56FAF" w:rsidRDefault="00DC4DF1" w:rsidP="00EA142E">
      <w:pPr>
        <w:rPr>
          <w:lang w:val="en-US"/>
        </w:rPr>
      </w:pPr>
    </w:p>
    <w:sectPr w:rsidR="00DC4DF1" w:rsidRPr="00D56FA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6502" w14:textId="77777777" w:rsidR="009372BB" w:rsidRDefault="009372BB" w:rsidP="000813BC">
      <w:pPr>
        <w:spacing w:after="0" w:line="240" w:lineRule="auto"/>
      </w:pPr>
      <w:r>
        <w:separator/>
      </w:r>
    </w:p>
  </w:endnote>
  <w:endnote w:type="continuationSeparator" w:id="0">
    <w:p w14:paraId="6BD2DC1C" w14:textId="77777777" w:rsidR="009372BB" w:rsidRDefault="009372BB" w:rsidP="0008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EA7C" w14:textId="6D7179B3" w:rsidR="000813BC" w:rsidRDefault="000813BC">
    <w:pPr>
      <w:pStyle w:val="Footer"/>
    </w:pPr>
    <w:r>
      <w:t>All graphs created using R software.</w:t>
    </w:r>
  </w:p>
  <w:p w14:paraId="7B696B4E" w14:textId="77777777" w:rsidR="000813BC" w:rsidRDefault="00081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5242" w14:textId="77777777" w:rsidR="009372BB" w:rsidRDefault="009372BB" w:rsidP="000813BC">
      <w:pPr>
        <w:spacing w:after="0" w:line="240" w:lineRule="auto"/>
      </w:pPr>
      <w:r>
        <w:separator/>
      </w:r>
    </w:p>
  </w:footnote>
  <w:footnote w:type="continuationSeparator" w:id="0">
    <w:p w14:paraId="21E3B239" w14:textId="77777777" w:rsidR="009372BB" w:rsidRDefault="009372BB" w:rsidP="00081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AF"/>
    <w:rsid w:val="000072FA"/>
    <w:rsid w:val="00022546"/>
    <w:rsid w:val="000813BC"/>
    <w:rsid w:val="000A0705"/>
    <w:rsid w:val="001F7336"/>
    <w:rsid w:val="00206485"/>
    <w:rsid w:val="00216D9B"/>
    <w:rsid w:val="002B4040"/>
    <w:rsid w:val="002D1A62"/>
    <w:rsid w:val="003B4A8C"/>
    <w:rsid w:val="00406FA0"/>
    <w:rsid w:val="004515F1"/>
    <w:rsid w:val="00454BF1"/>
    <w:rsid w:val="00466696"/>
    <w:rsid w:val="004D00EC"/>
    <w:rsid w:val="00593476"/>
    <w:rsid w:val="00594920"/>
    <w:rsid w:val="0063693D"/>
    <w:rsid w:val="006422FD"/>
    <w:rsid w:val="006C4BB5"/>
    <w:rsid w:val="008063E1"/>
    <w:rsid w:val="008324E4"/>
    <w:rsid w:val="0093045C"/>
    <w:rsid w:val="009372BB"/>
    <w:rsid w:val="00947C94"/>
    <w:rsid w:val="009963D4"/>
    <w:rsid w:val="00997BA1"/>
    <w:rsid w:val="00A15DE8"/>
    <w:rsid w:val="00A91C92"/>
    <w:rsid w:val="00B24DF7"/>
    <w:rsid w:val="00BC33C6"/>
    <w:rsid w:val="00C66F5D"/>
    <w:rsid w:val="00CE19CB"/>
    <w:rsid w:val="00D025EA"/>
    <w:rsid w:val="00D4093E"/>
    <w:rsid w:val="00D50671"/>
    <w:rsid w:val="00D56FAF"/>
    <w:rsid w:val="00D64FE7"/>
    <w:rsid w:val="00DC4DF1"/>
    <w:rsid w:val="00DE405E"/>
    <w:rsid w:val="00DF392E"/>
    <w:rsid w:val="00EA142E"/>
    <w:rsid w:val="00F63B8B"/>
    <w:rsid w:val="00F8673F"/>
    <w:rsid w:val="00FD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C6D1"/>
  <w15:chartTrackingRefBased/>
  <w15:docId w15:val="{7FF2FF75-16E0-4AE3-80D1-DC8BA258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3BC"/>
  </w:style>
  <w:style w:type="paragraph" w:styleId="Footer">
    <w:name w:val="footer"/>
    <w:basedOn w:val="Normal"/>
    <w:link w:val="FooterChar"/>
    <w:uiPriority w:val="99"/>
    <w:unhideWhenUsed/>
    <w:rsid w:val="0008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BANDYOPADHYAY</dc:creator>
  <cp:keywords/>
  <dc:description/>
  <cp:lastModifiedBy>ANEEK BANDYOPADHYAY</cp:lastModifiedBy>
  <cp:revision>32</cp:revision>
  <dcterms:created xsi:type="dcterms:W3CDTF">2023-09-13T13:06:00Z</dcterms:created>
  <dcterms:modified xsi:type="dcterms:W3CDTF">2023-09-23T09:00:00Z</dcterms:modified>
</cp:coreProperties>
</file>