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11827"/>
          <w:sz w:val="40"/>
          <w:szCs w:val="40"/>
        </w:rPr>
        <w:t xml:space="preserve">Website Portfolio Cards — Replit Prompt</w:t>
      </w:r>
    </w:p>
    <w:p>
      <w:pPr>
        <w:spacing w:after="480" w:before="0"/>
        <w:jc w:val="center"/>
      </w:pPr>
      <w:r>
        <w:rPr>
          <w:rFonts w:ascii="Arial" w:cs="Arial" w:eastAsia="Arial" w:hAnsi="Arial"/>
          <w:i/>
          <w:iCs/>
          <w:color w:val="6B7280"/>
          <w:sz w:val="22"/>
          <w:szCs w:val="22"/>
        </w:rPr>
        <w:t xml:space="preserve">Update instructions for all card sections</w:t>
      </w:r>
    </w:p>
    <w:p>
      <w:pPr>
        <w:pBdr>
          <w:bottom w:val="single" w:color="2563EB" w:sz="4" w:space="4"/>
        </w:pBdr>
        <w:spacing w:after="120" w:before="480"/>
      </w:pPr>
      <w:r>
        <w:rPr>
          <w:rFonts w:ascii="Arial" w:cs="Arial" w:eastAsia="Arial" w:hAnsi="Arial"/>
          <w:b/>
          <w:bCs/>
          <w:color w:val="2563EB"/>
          <w:sz w:val="28"/>
          <w:szCs w:val="28"/>
        </w:rPr>
        <w:t xml:space="preserve">CONSULTING CARDS</w:t>
      </w:r>
    </w:p>
    <w:p>
      <w:pPr>
        <w:spacing w:after="80" w:before="0"/>
      </w:pPr>
      <w:r>
        <w:rPr>
          <w:rFonts w:ascii="Arial" w:cs="Arial" w:eastAsia="Arial" w:hAnsi="Arial"/>
          <w:b/>
          <w:bCs/>
          <w:color w:val="2563EB"/>
          <w:sz w:val="18"/>
          <w:szCs w:val="18"/>
        </w:rPr>
        <w:t xml:space="preserve">[ STRATEGY ]</w:t>
      </w:r>
    </w:p>
    <w:p>
      <w:pPr>
        <w:spacing w:after="80" w:before="360"/>
      </w:pPr>
      <w:r>
        <w:rPr>
          <w:rFonts w:ascii="Arial" w:cs="Arial" w:eastAsia="Arial" w:hAnsi="Arial"/>
          <w:b/>
          <w:bCs/>
          <w:color w:val="111827"/>
          <w:sz w:val="24"/>
          <w:szCs w:val="24"/>
        </w:rPr>
        <w:t xml:space="preserve">JV Due Diligence and B2B Pipeline Intelligence — Saudi Arabia</w:t>
      </w:r>
    </w:p>
    <w:p>
      <w:pPr>
        <w:spacing w:after="60" w:before="200"/>
      </w:pPr>
      <w:r>
        <w:rPr>
          <w:rFonts w:ascii="Arial" w:cs="Arial" w:eastAsia="Arial" w:hAnsi="Arial"/>
          <w:b/>
          <w:bCs/>
          <w:color w:val="111827"/>
          <w:sz w:val="20"/>
          <w:szCs w:val="20"/>
        </w:rPr>
        <w:t xml:space="preserve">Card Description</w:t>
      </w:r>
    </w:p>
    <w:p>
      <w:pPr>
        <w:spacing w:after="100" w:before="0"/>
        <w:jc w:val="both"/>
      </w:pPr>
      <w:r>
        <w:rPr>
          <w:rFonts w:ascii="Arial" w:cs="Arial" w:eastAsia="Arial" w:hAnsi="Arial"/>
          <w:color w:val="111827"/>
          <w:sz w:val="20"/>
          <w:szCs w:val="20"/>
        </w:rPr>
        <w:t xml:space="preserve">Supported strategic due diligence for a global technology conglomerate's joint venture entry into Saudi Arabia — spanning competitive landscaping, business model deconstruction, financial analysis, and a proprietary B2B tender intelligence workstream built on 2,000+ scraped government procurement entries.</w:t>
      </w:r>
    </w:p>
    <w:p>
      <w:pPr>
        <w:spacing w:after="60" w:before="200"/>
      </w:pPr>
      <w:r>
        <w:rPr>
          <w:rFonts w:ascii="Arial" w:cs="Arial" w:eastAsia="Arial" w:hAnsi="Arial"/>
          <w:b/>
          <w:bCs/>
          <w:color w:val="111827"/>
          <w:sz w:val="20"/>
          <w:szCs w:val="20"/>
        </w:rPr>
        <w:t xml:space="preserve">Modal Tag</w:t>
      </w:r>
    </w:p>
    <w:p>
      <w:pPr>
        <w:spacing w:after="100" w:before="0"/>
        <w:jc w:val="both"/>
      </w:pPr>
      <w:r>
        <w:rPr>
          <w:rFonts w:ascii="Arial" w:cs="Arial" w:eastAsia="Arial" w:hAnsi="Arial"/>
          <w:color w:val="111827"/>
          <w:sz w:val="20"/>
          <w:szCs w:val="20"/>
        </w:rPr>
        <w:t xml:space="preserve">STRATEGY</w:t>
      </w:r>
    </w:p>
    <w:p>
      <w:pPr>
        <w:spacing w:after="60" w:before="200"/>
      </w:pPr>
      <w:r>
        <w:rPr>
          <w:rFonts w:ascii="Arial" w:cs="Arial" w:eastAsia="Arial" w:hAnsi="Arial"/>
          <w:b/>
          <w:bCs/>
          <w:color w:val="111827"/>
          <w:sz w:val="20"/>
          <w:szCs w:val="20"/>
        </w:rPr>
        <w:t xml:space="preserve">Modal Title</w:t>
      </w:r>
    </w:p>
    <w:p>
      <w:pPr>
        <w:spacing w:after="100" w:before="0"/>
        <w:jc w:val="both"/>
      </w:pPr>
      <w:r>
        <w:rPr>
          <w:rFonts w:ascii="Arial" w:cs="Arial" w:eastAsia="Arial" w:hAnsi="Arial"/>
          <w:color w:val="111827"/>
          <w:sz w:val="20"/>
          <w:szCs w:val="20"/>
        </w:rPr>
        <w:t xml:space="preserve">JV Due Diligence and B2B Pipeline Intelligence — Saudi Arabia</w:t>
      </w:r>
    </w:p>
    <w:p>
      <w:pPr>
        <w:spacing w:after="60" w:before="200"/>
      </w:pPr>
      <w:r>
        <w:rPr>
          <w:rFonts w:ascii="Arial" w:cs="Arial" w:eastAsia="Arial" w:hAnsi="Arial"/>
          <w:b/>
          <w:bCs/>
          <w:color w:val="111827"/>
          <w:sz w:val="20"/>
          <w:szCs w:val="20"/>
        </w:rPr>
        <w:t xml:space="preserve">Modal Body</w:t>
      </w:r>
    </w:p>
    <w:p>
      <w:pPr>
        <w:spacing w:after="100" w:before="0"/>
        <w:jc w:val="both"/>
      </w:pPr>
      <w:r>
        <w:rPr>
          <w:rFonts w:ascii="Arial" w:cs="Arial" w:eastAsia="Arial" w:hAnsi="Arial"/>
          <w:color w:val="111827"/>
          <w:sz w:val="20"/>
          <w:szCs w:val="20"/>
        </w:rPr>
        <w:t xml:space="preserve">This engagement supported due diligence for a global technology giant evaluating a joint venture with a major Saudi conglomerate, structured across two analytical tracks. The first track covered competitive landscaping — deconstructing incumbent and emerging technology players in the Saudi market across business model architecture, product portfolio depth, route-to-market strategies, and financial benchmarks — alongside an analysis of the prospective JV partner's conglomerate structure, revenue composition, and strategic rationale, with a focus on synergy levers and risk vectors. The second track built a proprietary B2B pipeline intelligence model through large-scale government tender scraping. 2,000+ entries were extracted from public procurement databases and structured to map the tendering landscape across: process composition and lifecycle, aggregate and segmented tender value pools, competitive capture rates by incumbent players, and forward-looking tender projections tied to Vision 2030 spending mandates. The combined output gave the client a data-driven view of the addressable B2B opportunity, competitive procurement intensity, and a prioritisation framework for pipeline targeting post-JV formation.</w:t>
      </w:r>
    </w:p>
    <w:p>
      <w:pPr>
        <w:spacing w:after="60" w:before="200"/>
      </w:pPr>
      <w:r>
        <w:rPr>
          <w:rFonts w:ascii="Arial" w:cs="Arial" w:eastAsia="Arial" w:hAnsi="Arial"/>
          <w:b/>
          <w:bCs/>
          <w:color w:val="111827"/>
          <w:sz w:val="20"/>
          <w:szCs w:val="20"/>
        </w:rPr>
        <w:t xml:space="preserve">Key Outcomes</w:t>
      </w:r>
    </w:p>
    <w:p>
      <w:pPr>
        <w:pStyle w:val="ListParagraph"/>
        <w:numPr>
          <w:ilvl w:val="0"/>
          <w:numId w:val="2"/>
        </w:numPr>
        <w:spacing w:after="40" w:before="40"/>
      </w:pPr>
      <w:r>
        <w:rPr>
          <w:rFonts w:ascii="Arial" w:cs="Arial" w:eastAsia="Arial" w:hAnsi="Arial"/>
          <w:color w:val="111827"/>
          <w:sz w:val="20"/>
          <w:szCs w:val="20"/>
        </w:rPr>
        <w:t xml:space="preserve">Constructed a competitive intelligence matrix across Saudi market technology players, benchmarking business model architecture, financial performance, and route-to-market strategies.</w:t>
      </w:r>
    </w:p>
    <w:p>
      <w:pPr>
        <w:pStyle w:val="ListParagraph"/>
        <w:numPr>
          <w:ilvl w:val="0"/>
          <w:numId w:val="2"/>
        </w:numPr>
        <w:spacing w:after="40" w:before="40"/>
      </w:pPr>
      <w:r>
        <w:rPr>
          <w:rFonts w:ascii="Arial" w:cs="Arial" w:eastAsia="Arial" w:hAnsi="Arial"/>
          <w:color w:val="111827"/>
          <w:sz w:val="20"/>
          <w:szCs w:val="20"/>
        </w:rPr>
        <w:t xml:space="preserve">Scraped, cleaned, and structured 2,000+ government procurement entries to build a proprietary tender model covering value pools, competitive capture rates, and 3-year forward projections.</w:t>
      </w:r>
    </w:p>
    <w:p>
      <w:pPr>
        <w:pStyle w:val="ListParagraph"/>
        <w:numPr>
          <w:ilvl w:val="0"/>
          <w:numId w:val="2"/>
        </w:numPr>
        <w:spacing w:after="40" w:before="40"/>
      </w:pPr>
      <w:r>
        <w:rPr>
          <w:rFonts w:ascii="Arial" w:cs="Arial" w:eastAsia="Arial" w:hAnsi="Arial"/>
          <w:color w:val="111827"/>
          <w:sz w:val="20"/>
          <w:szCs w:val="20"/>
        </w:rPr>
        <w:t xml:space="preserve">Delivered a dual-track due diligence output synthesising market-entry risk, JV partner synergy assessment, and a prioritised B2B pipeline targeting framework.</w:t>
      </w:r>
    </w:p>
    <w:p>
      <w:pPr>
        <w:spacing w:after="60" w:before="200"/>
      </w:pPr>
      <w:r>
        <w:rPr>
          <w:rFonts w:ascii="Arial" w:cs="Arial" w:eastAsia="Arial" w:hAnsi="Arial"/>
          <w:b/>
          <w:bCs/>
          <w:color w:val="111827"/>
          <w:sz w:val="20"/>
          <w:szCs w:val="20"/>
        </w:rPr>
        <w:t xml:space="preserve">Tools &amp; Skills</w:t>
      </w:r>
    </w:p>
    <w:p>
      <w:pPr>
        <w:spacing w:after="60" w:before="120"/>
      </w:pPr>
      <w:r>
        <w:rPr>
          <w:rFonts w:ascii="Arial" w:cs="Arial" w:eastAsia="Arial" w:hAnsi="Arial"/>
          <w:i/>
          <w:iCs/>
          <w:color w:val="6B7280"/>
          <w:sz w:val="18"/>
          <w:szCs w:val="18"/>
        </w:rPr>
        <w:t xml:space="preserve">Commercial Due Diligence · Competitive Intelligence · Business Model Analysis · Financial Benchmarking · Web Scraping · Government Tender Analysis · B2B Pipeline Mapping · Market Entry Strategy · Joint Venture Advisory · Vision 2030 Landscape</w:t>
      </w:r>
    </w:p>
    <w:p>
      <w:pPr>
        <w:pBdr>
          <w:bottom w:val="single" w:color="E5E7EB" w:sz="2" w:space="1"/>
        </w:pBdr>
        <w:spacing w:after="200" w:before="200"/>
      </w:pPr>
      <w:r>
        <w:t xml:space="preserve"/>
      </w:r>
    </w:p>
    <w:p>
      <w:pPr>
        <w:spacing w:after="80" w:before="0"/>
      </w:pPr>
      <w:r>
        <w:rPr>
          <w:rFonts w:ascii="Arial" w:cs="Arial" w:eastAsia="Arial" w:hAnsi="Arial"/>
          <w:b/>
          <w:bCs/>
          <w:color w:val="2563EB"/>
          <w:sz w:val="18"/>
          <w:szCs w:val="18"/>
        </w:rPr>
        <w:t xml:space="preserve">[ OPERATIONS ]</w:t>
      </w:r>
    </w:p>
    <w:p>
      <w:pPr>
        <w:spacing w:after="80" w:before="360"/>
      </w:pPr>
      <w:r>
        <w:rPr>
          <w:rFonts w:ascii="Arial" w:cs="Arial" w:eastAsia="Arial" w:hAnsi="Arial"/>
          <w:b/>
          <w:bCs/>
          <w:color w:val="111827"/>
          <w:sz w:val="24"/>
          <w:szCs w:val="24"/>
        </w:rPr>
        <w:t xml:space="preserve">Value Creation Planning and Commercial Performance — KSA Oncology Clinic</w:t>
      </w:r>
    </w:p>
    <w:p>
      <w:pPr>
        <w:spacing w:after="60" w:before="200"/>
      </w:pPr>
      <w:r>
        <w:rPr>
          <w:rFonts w:ascii="Arial" w:cs="Arial" w:eastAsia="Arial" w:hAnsi="Arial"/>
          <w:b/>
          <w:bCs/>
          <w:color w:val="111827"/>
          <w:sz w:val="20"/>
          <w:szCs w:val="20"/>
        </w:rPr>
        <w:t xml:space="preserve">Card Description</w:t>
      </w:r>
    </w:p>
    <w:p>
      <w:pPr>
        <w:spacing w:after="100" w:before="0"/>
        <w:jc w:val="both"/>
      </w:pPr>
      <w:r>
        <w:rPr>
          <w:rFonts w:ascii="Arial" w:cs="Arial" w:eastAsia="Arial" w:hAnsi="Arial"/>
          <w:color w:val="111827"/>
          <w:sz w:val="20"/>
          <w:szCs w:val="20"/>
        </w:rPr>
        <w:t xml:space="preserve">Architected a multi-initiative value creation plan to offset first-year losses for a KSA oncology clinic — spanning revenue and profitability modelling across 10+ initiatives, CAPEX estimation, and go-to-market strategy — followed by a commercial budgeting model with an integrated performance tracking dashboard.</w:t>
      </w:r>
    </w:p>
    <w:p>
      <w:pPr>
        <w:spacing w:after="60" w:before="200"/>
      </w:pPr>
      <w:r>
        <w:rPr>
          <w:rFonts w:ascii="Arial" w:cs="Arial" w:eastAsia="Arial" w:hAnsi="Arial"/>
          <w:b/>
          <w:bCs/>
          <w:color w:val="111827"/>
          <w:sz w:val="20"/>
          <w:szCs w:val="20"/>
        </w:rPr>
        <w:t xml:space="preserve">Modal Tag</w:t>
      </w:r>
    </w:p>
    <w:p>
      <w:pPr>
        <w:spacing w:after="100" w:before="0"/>
        <w:jc w:val="both"/>
      </w:pPr>
      <w:r>
        <w:rPr>
          <w:rFonts w:ascii="Arial" w:cs="Arial" w:eastAsia="Arial" w:hAnsi="Arial"/>
          <w:color w:val="111827"/>
          <w:sz w:val="20"/>
          <w:szCs w:val="20"/>
        </w:rPr>
        <w:t xml:space="preserve">OPERATIONS</w:t>
      </w:r>
    </w:p>
    <w:p>
      <w:pPr>
        <w:spacing w:after="60" w:before="200"/>
      </w:pPr>
      <w:r>
        <w:rPr>
          <w:rFonts w:ascii="Arial" w:cs="Arial" w:eastAsia="Arial" w:hAnsi="Arial"/>
          <w:b/>
          <w:bCs/>
          <w:color w:val="111827"/>
          <w:sz w:val="20"/>
          <w:szCs w:val="20"/>
        </w:rPr>
        <w:t xml:space="preserve">Modal Title</w:t>
      </w:r>
    </w:p>
    <w:p>
      <w:pPr>
        <w:spacing w:after="100" w:before="0"/>
        <w:jc w:val="both"/>
      </w:pPr>
      <w:r>
        <w:rPr>
          <w:rFonts w:ascii="Arial" w:cs="Arial" w:eastAsia="Arial" w:hAnsi="Arial"/>
          <w:color w:val="111827"/>
          <w:sz w:val="20"/>
          <w:szCs w:val="20"/>
        </w:rPr>
        <w:t xml:space="preserve">Value Creation Planning and Commercial Performance — KSA Oncology Clinic</w:t>
      </w:r>
    </w:p>
    <w:p>
      <w:pPr>
        <w:spacing w:after="60" w:before="200"/>
      </w:pPr>
      <w:r>
        <w:rPr>
          <w:rFonts w:ascii="Arial" w:cs="Arial" w:eastAsia="Arial" w:hAnsi="Arial"/>
          <w:b/>
          <w:bCs/>
          <w:color w:val="111827"/>
          <w:sz w:val="20"/>
          <w:szCs w:val="20"/>
        </w:rPr>
        <w:t xml:space="preserve">Modal Body</w:t>
      </w:r>
    </w:p>
    <w:p>
      <w:pPr>
        <w:spacing w:after="100" w:before="0"/>
        <w:jc w:val="both"/>
      </w:pPr>
      <w:r>
        <w:rPr>
          <w:rFonts w:ascii="Arial" w:cs="Arial" w:eastAsia="Arial" w:hAnsi="Arial"/>
          <w:color w:val="111827"/>
          <w:sz w:val="20"/>
          <w:szCs w:val="20"/>
        </w:rPr>
        <w:t xml:space="preserve">This engagement was structured across two sequential workstreams for a KSA-based oncology clinic facing projected first-year operating losses. The first workstream designed and evaluated a value creation plan spanning 10+ revenue-generating initiatives across core oncology and adjacent service verticals. Each initiative underwent a full business model assessment — covering patient and payer segments, pricing architecture, care pathway integration, and competitive positioning — with multi-year revenue, profitability, and CAPEX projections modelled to enable capital allocation sequencing. The outputs were synthesised into a go-to-market strategy mapping referral network development, institutional payer engagement, and direct-to-patient acquisition channels for each prioritised initiative. The second workstream built the clinic's commercial performance infrastructure — a bottom-up budgeting and forecasting model aligned to service lines, paired with a dynamic dashboard tracking patient volumes, revenue per service line, referral funnel conversion rates, and budget variance in real time.</w:t>
      </w:r>
    </w:p>
    <w:p>
      <w:pPr>
        <w:spacing w:after="60" w:before="200"/>
      </w:pPr>
      <w:r>
        <w:rPr>
          <w:rFonts w:ascii="Arial" w:cs="Arial" w:eastAsia="Arial" w:hAnsi="Arial"/>
          <w:b/>
          <w:bCs/>
          <w:color w:val="111827"/>
          <w:sz w:val="20"/>
          <w:szCs w:val="20"/>
        </w:rPr>
        <w:t xml:space="preserve">Key Outcomes</w:t>
      </w:r>
    </w:p>
    <w:p>
      <w:pPr>
        <w:pStyle w:val="ListParagraph"/>
        <w:numPr>
          <w:ilvl w:val="0"/>
          <w:numId w:val="2"/>
        </w:numPr>
        <w:spacing w:after="40" w:before="40"/>
      </w:pPr>
      <w:r>
        <w:rPr>
          <w:rFonts w:ascii="Arial" w:cs="Arial" w:eastAsia="Arial" w:hAnsi="Arial"/>
          <w:color w:val="111827"/>
          <w:sz w:val="20"/>
          <w:szCs w:val="20"/>
        </w:rPr>
        <w:t xml:space="preserve">Modelled 10+ value creation initiatives across core and adjacent service lines, producing multi-year revenue, profitability, and CAPEX projections to prioritise capital allocation.</w:t>
      </w:r>
    </w:p>
    <w:p>
      <w:pPr>
        <w:pStyle w:val="ListParagraph"/>
        <w:numPr>
          <w:ilvl w:val="0"/>
          <w:numId w:val="2"/>
        </w:numPr>
        <w:spacing w:after="40" w:before="40"/>
      </w:pPr>
      <w:r>
        <w:rPr>
          <w:rFonts w:ascii="Arial" w:cs="Arial" w:eastAsia="Arial" w:hAnsi="Arial"/>
          <w:color w:val="111827"/>
          <w:sz w:val="20"/>
          <w:szCs w:val="20"/>
        </w:rPr>
        <w:t xml:space="preserve">Developed a go-to-market strategy mapping referral network development, institutional payer engagement, and direct acquisition pathways per initiative.</w:t>
      </w:r>
    </w:p>
    <w:p>
      <w:pPr>
        <w:pStyle w:val="ListParagraph"/>
        <w:numPr>
          <w:ilvl w:val="0"/>
          <w:numId w:val="2"/>
        </w:numPr>
        <w:spacing w:after="40" w:before="40"/>
      </w:pPr>
      <w:r>
        <w:rPr>
          <w:rFonts w:ascii="Arial" w:cs="Arial" w:eastAsia="Arial" w:hAnsi="Arial"/>
          <w:color w:val="111827"/>
          <w:sz w:val="20"/>
          <w:szCs w:val="20"/>
        </w:rPr>
        <w:t xml:space="preserve">Built a commercial budgeting and forecasting model with an integrated dashboard tracking revenue by service line, funnel conversion, and budget variance for commercial leadership.</w:t>
      </w:r>
    </w:p>
    <w:p>
      <w:pPr>
        <w:spacing w:after="60" w:before="200"/>
      </w:pPr>
      <w:r>
        <w:rPr>
          <w:rFonts w:ascii="Arial" w:cs="Arial" w:eastAsia="Arial" w:hAnsi="Arial"/>
          <w:b/>
          <w:bCs/>
          <w:color w:val="111827"/>
          <w:sz w:val="20"/>
          <w:szCs w:val="20"/>
        </w:rPr>
        <w:t xml:space="preserve">Tools &amp; Skills</w:t>
      </w:r>
    </w:p>
    <w:p>
      <w:pPr>
        <w:spacing w:after="60" w:before="120"/>
      </w:pPr>
      <w:r>
        <w:rPr>
          <w:rFonts w:ascii="Arial" w:cs="Arial" w:eastAsia="Arial" w:hAnsi="Arial"/>
          <w:i/>
          <w:iCs/>
          <w:color w:val="6B7280"/>
          <w:sz w:val="18"/>
          <w:szCs w:val="18"/>
        </w:rPr>
        <w:t xml:space="preserve">Value Creation Planning · Revenue Modelling · Profitability Analysis · CAPEX Estimation · Go-to-Market Strategy · Commercial Forecasting · Budget Modelling · Dashboard Development · Healthcare Strategy · Oncology Market Analysis · KPI Tracking</w:t>
      </w:r>
    </w:p>
    <w:p>
      <w:pPr>
        <w:pBdr>
          <w:bottom w:val="single" w:color="E5E7EB" w:sz="2" w:space="1"/>
        </w:pBdr>
        <w:spacing w:after="200" w:before="200"/>
      </w:pPr>
      <w:r>
        <w:t xml:space="preserve"/>
      </w:r>
    </w:p>
    <w:p>
      <w:pPr>
        <w:pBdr>
          <w:bottom w:val="single" w:color="2563EB" w:sz="4" w:space="4"/>
        </w:pBdr>
        <w:spacing w:after="120" w:before="480"/>
      </w:pPr>
      <w:r>
        <w:rPr>
          <w:rFonts w:ascii="Arial" w:cs="Arial" w:eastAsia="Arial" w:hAnsi="Arial"/>
          <w:b/>
          <w:bCs/>
          <w:color w:val="2563EB"/>
          <w:sz w:val="28"/>
          <w:szCs w:val="28"/>
        </w:rPr>
        <w:t xml:space="preserve">PASSION PROJECT CARDS</w:t>
      </w:r>
    </w:p>
    <w:p>
      <w:pPr>
        <w:spacing w:after="80" w:before="0"/>
      </w:pPr>
      <w:r>
        <w:rPr>
          <w:rFonts w:ascii="Arial" w:cs="Arial" w:eastAsia="Arial" w:hAnsi="Arial"/>
          <w:b/>
          <w:bCs/>
          <w:color w:val="2563EB"/>
          <w:sz w:val="18"/>
          <w:szCs w:val="18"/>
        </w:rPr>
        <w:t xml:space="preserve">[ COMING SOON ]</w:t>
      </w:r>
    </w:p>
    <w:p>
      <w:pPr>
        <w:spacing w:after="80" w:before="360"/>
      </w:pPr>
      <w:r>
        <w:rPr>
          <w:rFonts w:ascii="Arial" w:cs="Arial" w:eastAsia="Arial" w:hAnsi="Arial"/>
          <w:b/>
          <w:bCs/>
          <w:color w:val="111827"/>
          <w:sz w:val="24"/>
          <w:szCs w:val="24"/>
        </w:rPr>
        <w:t xml:space="preserve">PSX Insight — Live Financial Intelligence for the Pakistani Stock Market</w:t>
      </w:r>
    </w:p>
    <w:p>
      <w:pPr>
        <w:spacing w:after="60" w:before="200"/>
      </w:pPr>
      <w:r>
        <w:rPr>
          <w:rFonts w:ascii="Arial" w:cs="Arial" w:eastAsia="Arial" w:hAnsi="Arial"/>
          <w:b/>
          <w:bCs/>
          <w:color w:val="111827"/>
          <w:sz w:val="20"/>
          <w:szCs w:val="20"/>
        </w:rPr>
        <w:t xml:space="preserve">Card Description</w:t>
      </w:r>
    </w:p>
    <w:p>
      <w:pPr>
        <w:spacing w:after="100" w:before="0"/>
        <w:jc w:val="both"/>
      </w:pPr>
      <w:r>
        <w:rPr>
          <w:rFonts w:ascii="Arial" w:cs="Arial" w:eastAsia="Arial" w:hAnsi="Arial"/>
          <w:color w:val="111827"/>
          <w:sz w:val="20"/>
          <w:szCs w:val="20"/>
        </w:rPr>
        <w:t xml:space="preserve">An AI-powered financial intelligence platform in development — delivering live and historical PSX analytics, unbiased stock performance analysis, macro and company-level market intelligence, and personalised wealth generation tools for Pakistani retail investors.</w:t>
      </w:r>
    </w:p>
    <w:p>
      <w:pPr>
        <w:spacing w:after="60" w:before="200"/>
      </w:pPr>
      <w:r>
        <w:rPr>
          <w:rFonts w:ascii="Arial" w:cs="Arial" w:eastAsia="Arial" w:hAnsi="Arial"/>
          <w:b/>
          <w:bCs/>
          <w:color w:val="111827"/>
          <w:sz w:val="20"/>
          <w:szCs w:val="20"/>
        </w:rPr>
        <w:t xml:space="preserve">Modal Tag</w:t>
      </w:r>
    </w:p>
    <w:p>
      <w:pPr>
        <w:spacing w:after="100" w:before="0"/>
        <w:jc w:val="both"/>
      </w:pPr>
      <w:r>
        <w:rPr>
          <w:rFonts w:ascii="Arial" w:cs="Arial" w:eastAsia="Arial" w:hAnsi="Arial"/>
          <w:color w:val="111827"/>
          <w:sz w:val="20"/>
          <w:szCs w:val="20"/>
        </w:rPr>
        <w:t xml:space="preserve">COMING SOON</w:t>
      </w:r>
    </w:p>
    <w:p>
      <w:pPr>
        <w:spacing w:after="60" w:before="200"/>
      </w:pPr>
      <w:r>
        <w:rPr>
          <w:rFonts w:ascii="Arial" w:cs="Arial" w:eastAsia="Arial" w:hAnsi="Arial"/>
          <w:b/>
          <w:bCs/>
          <w:color w:val="111827"/>
          <w:sz w:val="20"/>
          <w:szCs w:val="20"/>
        </w:rPr>
        <w:t xml:space="preserve">Modal Title</w:t>
      </w:r>
    </w:p>
    <w:p>
      <w:pPr>
        <w:spacing w:after="100" w:before="0"/>
        <w:jc w:val="both"/>
      </w:pPr>
      <w:r>
        <w:rPr>
          <w:rFonts w:ascii="Arial" w:cs="Arial" w:eastAsia="Arial" w:hAnsi="Arial"/>
          <w:color w:val="111827"/>
          <w:sz w:val="20"/>
          <w:szCs w:val="20"/>
        </w:rPr>
        <w:t xml:space="preserve">PSX Insight — Live Financial Intelligence for the Pakistani Stock Market</w:t>
      </w:r>
    </w:p>
    <w:p>
      <w:pPr>
        <w:spacing w:after="60" w:before="200"/>
      </w:pPr>
      <w:r>
        <w:rPr>
          <w:rFonts w:ascii="Arial" w:cs="Arial" w:eastAsia="Arial" w:hAnsi="Arial"/>
          <w:b/>
          <w:bCs/>
          <w:color w:val="111827"/>
          <w:sz w:val="20"/>
          <w:szCs w:val="20"/>
        </w:rPr>
        <w:t xml:space="preserve">Modal Body</w:t>
      </w:r>
    </w:p>
    <w:p>
      <w:pPr>
        <w:spacing w:after="100" w:before="0"/>
        <w:jc w:val="both"/>
      </w:pPr>
      <w:r>
        <w:rPr>
          <w:rFonts w:ascii="Arial" w:cs="Arial" w:eastAsia="Arial" w:hAnsi="Arial"/>
          <w:color w:val="111827"/>
          <w:sz w:val="20"/>
          <w:szCs w:val="20"/>
        </w:rPr>
        <w:t xml:space="preserve">PSX Insight is a financial intelligence platform in development, built on an n8n automation backend, an MCP integration layer, and a Replit frontend. It is designed for retail investors in Pakistan who lack access to consolidated, real-time financial data for the Pakistan Stock Exchange. The data infrastructure runs on live PSX API feeds and automated scraping pipelines monitoring stock performance in real time and historically. On top of this, the platform generates unbiased, data-driven stock assessments covering technical indicators, valuation metrics, and trend analysis. A continuous market intelligence engine tracks macro and micro factors affecting the PSX — geopolitical developments, monetary policy shifts, and company-specific events such as dividend declarations, earnings releases, and board announcements — each paired with a directional market impact assessment. Additional features in development include a wealth generation calculator for modelling portfolio growth, a brokerage onboarding module, and a financial literacy section on investing fundamentals.</w:t>
      </w:r>
    </w:p>
    <w:p>
      <w:pPr>
        <w:spacing w:after="60" w:before="200"/>
      </w:pPr>
      <w:r>
        <w:rPr>
          <w:rFonts w:ascii="Arial" w:cs="Arial" w:eastAsia="Arial" w:hAnsi="Arial"/>
          <w:b/>
          <w:bCs/>
          <w:color w:val="111827"/>
          <w:sz w:val="20"/>
          <w:szCs w:val="20"/>
        </w:rPr>
        <w:t xml:space="preserve">Key Outcomes</w:t>
      </w:r>
    </w:p>
    <w:p>
      <w:pPr>
        <w:pStyle w:val="ListParagraph"/>
        <w:numPr>
          <w:ilvl w:val="0"/>
          <w:numId w:val="2"/>
        </w:numPr>
        <w:spacing w:after="40" w:before="40"/>
      </w:pPr>
      <w:r>
        <w:rPr>
          <w:rFonts w:ascii="Arial" w:cs="Arial" w:eastAsia="Arial" w:hAnsi="Arial"/>
          <w:color w:val="111827"/>
          <w:sz w:val="20"/>
          <w:szCs w:val="20"/>
        </w:rPr>
        <w:t xml:space="preserve">Live and historical PSX stock monitoring via API feeds and scraping pipelines.</w:t>
      </w:r>
    </w:p>
    <w:p>
      <w:pPr>
        <w:pStyle w:val="ListParagraph"/>
        <w:numPr>
          <w:ilvl w:val="0"/>
          <w:numId w:val="2"/>
        </w:numPr>
        <w:spacing w:after="40" w:before="40"/>
      </w:pPr>
      <w:r>
        <w:rPr>
          <w:rFonts w:ascii="Arial" w:cs="Arial" w:eastAsia="Arial" w:hAnsi="Arial"/>
          <w:color w:val="111827"/>
          <w:sz w:val="20"/>
          <w:szCs w:val="20"/>
        </w:rPr>
        <w:t xml:space="preserve">AI-driven stock performance analysis across technical and fundamental dimensions.</w:t>
      </w:r>
    </w:p>
    <w:p>
      <w:pPr>
        <w:pStyle w:val="ListParagraph"/>
        <w:numPr>
          <w:ilvl w:val="0"/>
          <w:numId w:val="2"/>
        </w:numPr>
        <w:spacing w:after="40" w:before="40"/>
      </w:pPr>
      <w:r>
        <w:rPr>
          <w:rFonts w:ascii="Arial" w:cs="Arial" w:eastAsia="Arial" w:hAnsi="Arial"/>
          <w:color w:val="111827"/>
          <w:sz w:val="20"/>
          <w:szCs w:val="20"/>
        </w:rPr>
        <w:t xml:space="preserve">Macro, policy, and company-level intelligence with directional market impact assessments.</w:t>
      </w:r>
    </w:p>
    <w:p>
      <w:pPr>
        <w:pStyle w:val="ListParagraph"/>
        <w:numPr>
          <w:ilvl w:val="0"/>
          <w:numId w:val="2"/>
        </w:numPr>
        <w:spacing w:after="40" w:before="40"/>
      </w:pPr>
      <w:r>
        <w:rPr>
          <w:rFonts w:ascii="Arial" w:cs="Arial" w:eastAsia="Arial" w:hAnsi="Arial"/>
          <w:color w:val="111827"/>
          <w:sz w:val="20"/>
          <w:szCs w:val="20"/>
        </w:rPr>
        <w:t xml:space="preserve">Wealth generation calculator, brokerage onboarding guide, and financial literacy module.</w:t>
      </w:r>
    </w:p>
    <w:p>
      <w:pPr>
        <w:spacing w:after="60" w:before="200"/>
      </w:pPr>
      <w:r>
        <w:rPr>
          <w:rFonts w:ascii="Arial" w:cs="Arial" w:eastAsia="Arial" w:hAnsi="Arial"/>
          <w:b/>
          <w:bCs/>
          <w:color w:val="111827"/>
          <w:sz w:val="20"/>
          <w:szCs w:val="20"/>
        </w:rPr>
        <w:t xml:space="preserve">Tools &amp; Skills</w:t>
      </w:r>
    </w:p>
    <w:p>
      <w:pPr>
        <w:spacing w:after="60" w:before="120"/>
      </w:pPr>
      <w:r>
        <w:rPr>
          <w:rFonts w:ascii="Arial" w:cs="Arial" w:eastAsia="Arial" w:hAnsi="Arial"/>
          <w:i/>
          <w:iCs/>
          <w:color w:val="6B7280"/>
          <w:sz w:val="18"/>
          <w:szCs w:val="18"/>
        </w:rPr>
        <w:t xml:space="preserve">n8n Automation · MCP Integration · PSX API · Web Scraping · Financial Analysis · AI-Powered Analytics · Stock Market Intelligence · Replit Frontend · Wealth Modelling · Retail Investor Tools</w:t>
      </w:r>
    </w:p>
    <w:p>
      <w:pPr>
        <w:spacing w:after="60" w:before="120"/>
      </w:pPr>
      <w:r>
        <w:rPr>
          <w:rFonts w:ascii="Arial" w:cs="Arial" w:eastAsia="Arial" w:hAnsi="Arial"/>
          <w:i/>
          <w:iCs/>
          <w:color w:val="6B7280"/>
          <w:sz w:val="18"/>
          <w:szCs w:val="18"/>
        </w:rPr>
        <w:t xml:space="preserve">This project is currently under active development. Check back soon.</w:t>
      </w:r>
    </w:p>
    <w:p>
      <w:pPr>
        <w:pBdr>
          <w:bottom w:val="single" w:color="E5E7EB" w:sz="2" w:space="1"/>
        </w:pBdr>
        <w:spacing w:after="200" w:before="200"/>
      </w:pPr>
      <w:r>
        <w:t xml:space="preserve"/>
      </w:r>
    </w:p>
    <w:p>
      <w:pPr>
        <w:spacing w:after="80" w:before="0"/>
      </w:pPr>
      <w:r>
        <w:rPr>
          <w:rFonts w:ascii="Arial" w:cs="Arial" w:eastAsia="Arial" w:hAnsi="Arial"/>
          <w:b/>
          <w:bCs/>
          <w:color w:val="2563EB"/>
          <w:sz w:val="18"/>
          <w:szCs w:val="18"/>
        </w:rPr>
        <w:t xml:space="preserve">[ COMING SOON ]</w:t>
      </w:r>
    </w:p>
    <w:p>
      <w:pPr>
        <w:spacing w:after="80" w:before="360"/>
      </w:pPr>
      <w:r>
        <w:rPr>
          <w:rFonts w:ascii="Arial" w:cs="Arial" w:eastAsia="Arial" w:hAnsi="Arial"/>
          <w:b/>
          <w:bCs/>
          <w:color w:val="111827"/>
          <w:sz w:val="24"/>
          <w:szCs w:val="24"/>
        </w:rPr>
        <w:t xml:space="preserve">DeckAI — AI-Powered Presentation Builder for Consultants</w:t>
      </w:r>
    </w:p>
    <w:p>
      <w:pPr>
        <w:spacing w:after="60" w:before="200"/>
      </w:pPr>
      <w:r>
        <w:rPr>
          <w:rFonts w:ascii="Arial" w:cs="Arial" w:eastAsia="Arial" w:hAnsi="Arial"/>
          <w:b/>
          <w:bCs/>
          <w:color w:val="111827"/>
          <w:sz w:val="20"/>
          <w:szCs w:val="20"/>
        </w:rPr>
        <w:t xml:space="preserve">Card Description</w:t>
      </w:r>
    </w:p>
    <w:p>
      <w:pPr>
        <w:spacing w:after="100" w:before="0"/>
        <w:jc w:val="both"/>
      </w:pPr>
      <w:r>
        <w:rPr>
          <w:rFonts w:ascii="Arial" w:cs="Arial" w:eastAsia="Arial" w:hAnsi="Arial"/>
          <w:color w:val="111827"/>
          <w:sz w:val="20"/>
          <w:szCs w:val="20"/>
        </w:rPr>
        <w:t xml:space="preserve">A presentation intelligence tool in development — generating polished, brand-aligned first-draft decks for consultants and knowledge workers, with live editing, branding configuration, context-aware content generation, and research integration.</w:t>
      </w:r>
    </w:p>
    <w:p>
      <w:pPr>
        <w:spacing w:after="60" w:before="200"/>
      </w:pPr>
      <w:r>
        <w:rPr>
          <w:rFonts w:ascii="Arial" w:cs="Arial" w:eastAsia="Arial" w:hAnsi="Arial"/>
          <w:b/>
          <w:bCs/>
          <w:color w:val="111827"/>
          <w:sz w:val="20"/>
          <w:szCs w:val="20"/>
        </w:rPr>
        <w:t xml:space="preserve">Modal Tag</w:t>
      </w:r>
    </w:p>
    <w:p>
      <w:pPr>
        <w:spacing w:after="100" w:before="0"/>
        <w:jc w:val="both"/>
      </w:pPr>
      <w:r>
        <w:rPr>
          <w:rFonts w:ascii="Arial" w:cs="Arial" w:eastAsia="Arial" w:hAnsi="Arial"/>
          <w:color w:val="111827"/>
          <w:sz w:val="20"/>
          <w:szCs w:val="20"/>
        </w:rPr>
        <w:t xml:space="preserve">COMING SOON</w:t>
      </w:r>
    </w:p>
    <w:p>
      <w:pPr>
        <w:spacing w:after="60" w:before="200"/>
      </w:pPr>
      <w:r>
        <w:rPr>
          <w:rFonts w:ascii="Arial" w:cs="Arial" w:eastAsia="Arial" w:hAnsi="Arial"/>
          <w:b/>
          <w:bCs/>
          <w:color w:val="111827"/>
          <w:sz w:val="20"/>
          <w:szCs w:val="20"/>
        </w:rPr>
        <w:t xml:space="preserve">Modal Title</w:t>
      </w:r>
    </w:p>
    <w:p>
      <w:pPr>
        <w:spacing w:after="100" w:before="0"/>
        <w:jc w:val="both"/>
      </w:pPr>
      <w:r>
        <w:rPr>
          <w:rFonts w:ascii="Arial" w:cs="Arial" w:eastAsia="Arial" w:hAnsi="Arial"/>
          <w:color w:val="111827"/>
          <w:sz w:val="20"/>
          <w:szCs w:val="20"/>
        </w:rPr>
        <w:t xml:space="preserve">DeckAI — AI-Powered Presentation Builder for Consultants</w:t>
      </w:r>
    </w:p>
    <w:p>
      <w:pPr>
        <w:spacing w:after="60" w:before="200"/>
      </w:pPr>
      <w:r>
        <w:rPr>
          <w:rFonts w:ascii="Arial" w:cs="Arial" w:eastAsia="Arial" w:hAnsi="Arial"/>
          <w:b/>
          <w:bCs/>
          <w:color w:val="111827"/>
          <w:sz w:val="20"/>
          <w:szCs w:val="20"/>
        </w:rPr>
        <w:t xml:space="preserve">Modal Body</w:t>
      </w:r>
    </w:p>
    <w:p>
      <w:pPr>
        <w:spacing w:after="100" w:before="0"/>
        <w:jc w:val="both"/>
      </w:pPr>
      <w:r>
        <w:rPr>
          <w:rFonts w:ascii="Arial" w:cs="Arial" w:eastAsia="Arial" w:hAnsi="Arial"/>
          <w:color w:val="111827"/>
          <w:sz w:val="20"/>
          <w:szCs w:val="20"/>
        </w:rPr>
        <w:t xml:space="preserve">DeckAI is a presentation intelligence application in development for consultants, analysts, and knowledge workers who need to produce high-quality presentation drafts rapidly. The platform ingests past decks and contextual inputs — branding guidelines, slide aesthetics, structural preferences, and narrative style — and generates drafts that are immediately presentable and contextually aligned. Users configure branding parameters including colour palettes, typography, logo placement, and layout logic, applied consistently across all generated slides. The platform supports both single-slide generation for targeted updates and full-deck generation for end-to-end builds. Slides can be edited live within the application, with no export required. Later development stages will integrate research-based content generation — surfacing relevant data, benchmarks, and cited insights directly into slides from the topic and context provided.</w:t>
      </w:r>
    </w:p>
    <w:p>
      <w:pPr>
        <w:spacing w:after="60" w:before="200"/>
      </w:pPr>
      <w:r>
        <w:rPr>
          <w:rFonts w:ascii="Arial" w:cs="Arial" w:eastAsia="Arial" w:hAnsi="Arial"/>
          <w:b/>
          <w:bCs/>
          <w:color w:val="111827"/>
          <w:sz w:val="20"/>
          <w:szCs w:val="20"/>
        </w:rPr>
        <w:t xml:space="preserve">Key Outcomes</w:t>
      </w:r>
    </w:p>
    <w:p>
      <w:pPr>
        <w:pStyle w:val="ListParagraph"/>
        <w:numPr>
          <w:ilvl w:val="0"/>
          <w:numId w:val="2"/>
        </w:numPr>
        <w:spacing w:after="40" w:before="40"/>
      </w:pPr>
      <w:r>
        <w:rPr>
          <w:rFonts w:ascii="Arial" w:cs="Arial" w:eastAsia="Arial" w:hAnsi="Arial"/>
          <w:color w:val="111827"/>
          <w:sz w:val="20"/>
          <w:szCs w:val="20"/>
        </w:rPr>
        <w:t xml:space="preserve">Brand-aware deck generation trained on past presentations and branding guidelines.</w:t>
      </w:r>
    </w:p>
    <w:p>
      <w:pPr>
        <w:pStyle w:val="ListParagraph"/>
        <w:numPr>
          <w:ilvl w:val="0"/>
          <w:numId w:val="2"/>
        </w:numPr>
        <w:spacing w:after="40" w:before="40"/>
      </w:pPr>
      <w:r>
        <w:rPr>
          <w:rFonts w:ascii="Arial" w:cs="Arial" w:eastAsia="Arial" w:hAnsi="Arial"/>
          <w:color w:val="111827"/>
          <w:sz w:val="20"/>
          <w:szCs w:val="20"/>
        </w:rPr>
        <w:t xml:space="preserve">Full-deck and single-slide generation with live in-app editing.</w:t>
      </w:r>
    </w:p>
    <w:p>
      <w:pPr>
        <w:pStyle w:val="ListParagraph"/>
        <w:numPr>
          <w:ilvl w:val="0"/>
          <w:numId w:val="2"/>
        </w:numPr>
        <w:spacing w:after="40" w:before="40"/>
      </w:pPr>
      <w:r>
        <w:rPr>
          <w:rFonts w:ascii="Arial" w:cs="Arial" w:eastAsia="Arial" w:hAnsi="Arial"/>
          <w:color w:val="111827"/>
          <w:sz w:val="20"/>
          <w:szCs w:val="20"/>
        </w:rPr>
        <w:t xml:space="preserve">Context-sensitive content architecture aligned to narrative structure and aesthetic preferences.</w:t>
      </w:r>
    </w:p>
    <w:p>
      <w:pPr>
        <w:pStyle w:val="ListParagraph"/>
        <w:numPr>
          <w:ilvl w:val="0"/>
          <w:numId w:val="2"/>
        </w:numPr>
        <w:spacing w:after="40" w:before="40"/>
      </w:pPr>
      <w:r>
        <w:rPr>
          <w:rFonts w:ascii="Arial" w:cs="Arial" w:eastAsia="Arial" w:hAnsi="Arial"/>
          <w:color w:val="111827"/>
          <w:sz w:val="20"/>
          <w:szCs w:val="20"/>
        </w:rPr>
        <w:t xml:space="preserve">Research-integrated content generation for data-driven slides in later development stages.</w:t>
      </w:r>
    </w:p>
    <w:p>
      <w:pPr>
        <w:spacing w:after="60" w:before="200"/>
      </w:pPr>
      <w:r>
        <w:rPr>
          <w:rFonts w:ascii="Arial" w:cs="Arial" w:eastAsia="Arial" w:hAnsi="Arial"/>
          <w:b/>
          <w:bCs/>
          <w:color w:val="111827"/>
          <w:sz w:val="20"/>
          <w:szCs w:val="20"/>
        </w:rPr>
        <w:t xml:space="preserve">Tools &amp; Skills</w:t>
      </w:r>
    </w:p>
    <w:p>
      <w:pPr>
        <w:spacing w:after="60" w:before="120"/>
      </w:pPr>
      <w:r>
        <w:rPr>
          <w:rFonts w:ascii="Arial" w:cs="Arial" w:eastAsia="Arial" w:hAnsi="Arial"/>
          <w:i/>
          <w:iCs/>
          <w:color w:val="6B7280"/>
          <w:sz w:val="18"/>
          <w:szCs w:val="18"/>
        </w:rPr>
        <w:t xml:space="preserve">AI Presentation Generation · Branding Configuration · Context-Aware Content · Live Editing · LLM Integration · Consultant Tooling · Deck Automation · Research Synthesis</w:t>
      </w:r>
    </w:p>
    <w:p>
      <w:pPr>
        <w:spacing w:after="60" w:before="120"/>
      </w:pPr>
      <w:r>
        <w:rPr>
          <w:rFonts w:ascii="Arial" w:cs="Arial" w:eastAsia="Arial" w:hAnsi="Arial"/>
          <w:i/>
          <w:iCs/>
          <w:color w:val="6B7280"/>
          <w:sz w:val="18"/>
          <w:szCs w:val="18"/>
        </w:rPr>
        <w:t xml:space="preserve">This project is currently under active development. Check back soon.</w:t>
      </w:r>
    </w:p>
    <w:p>
      <w:pPr>
        <w:pBdr>
          <w:bottom w:val="single" w:color="E5E7EB" w:sz="2" w:space="1"/>
        </w:pBdr>
        <w:spacing w:after="200" w:before="200"/>
      </w:pPr>
      <w:r>
        <w:t xml:space="preserve"/>
      </w:r>
    </w:p>
    <w:p>
      <w:pPr>
        <w:pBdr>
          <w:bottom w:val="single" w:color="2563EB" w:sz="4" w:space="4"/>
        </w:pBdr>
        <w:spacing w:after="120" w:before="480"/>
      </w:pPr>
      <w:r>
        <w:rPr>
          <w:rFonts w:ascii="Arial" w:cs="Arial" w:eastAsia="Arial" w:hAnsi="Arial"/>
          <w:b/>
          <w:bCs/>
          <w:color w:val="2563EB"/>
          <w:sz w:val="28"/>
          <w:szCs w:val="28"/>
        </w:rPr>
        <w:t xml:space="preserve">AI &amp; AUTOMATION CARDS</w:t>
      </w:r>
    </w:p>
    <w:p>
      <w:pPr>
        <w:spacing w:after="80" w:before="0"/>
      </w:pPr>
      <w:r>
        <w:rPr>
          <w:rFonts w:ascii="Arial" w:cs="Arial" w:eastAsia="Arial" w:hAnsi="Arial"/>
          <w:b/>
          <w:bCs/>
          <w:color w:val="2563EB"/>
          <w:sz w:val="18"/>
          <w:szCs w:val="18"/>
        </w:rPr>
        <w:t xml:space="preserve">[ AUTOMATION ]</w:t>
      </w:r>
    </w:p>
    <w:p>
      <w:pPr>
        <w:spacing w:after="80" w:before="360"/>
      </w:pPr>
      <w:r>
        <w:rPr>
          <w:rFonts w:ascii="Arial" w:cs="Arial" w:eastAsia="Arial" w:hAnsi="Arial"/>
          <w:b/>
          <w:bCs/>
          <w:color w:val="111827"/>
          <w:sz w:val="24"/>
          <w:szCs w:val="24"/>
        </w:rPr>
        <w:t xml:space="preserve">Lecture Intelligence Pipeline — Transcription, Summarisation and WhatsApp Distribution</w:t>
      </w:r>
    </w:p>
    <w:p>
      <w:pPr>
        <w:spacing w:after="60" w:before="200"/>
      </w:pPr>
      <w:r>
        <w:rPr>
          <w:rFonts w:ascii="Arial" w:cs="Arial" w:eastAsia="Arial" w:hAnsi="Arial"/>
          <w:b/>
          <w:bCs/>
          <w:color w:val="111827"/>
          <w:sz w:val="20"/>
          <w:szCs w:val="20"/>
        </w:rPr>
        <w:t xml:space="preserve">Card Description</w:t>
      </w:r>
    </w:p>
    <w:p>
      <w:pPr>
        <w:spacing w:after="100" w:before="0"/>
        <w:jc w:val="both"/>
      </w:pPr>
      <w:r>
        <w:rPr>
          <w:rFonts w:ascii="Arial" w:cs="Arial" w:eastAsia="Arial" w:hAnsi="Arial"/>
          <w:color w:val="111827"/>
          <w:sz w:val="20"/>
          <w:szCs w:val="20"/>
        </w:rPr>
        <w:t xml:space="preserve">Built an end-to-end n8n pipeline that transcribes multilingual weekly Islamic lectures via AssemblyAI, generates LLM-powered summaries with one-click lecturer approval, formats outputs into branded PDFs, and distributes them to registered participants over WhatsApp.</w:t>
      </w:r>
    </w:p>
    <w:p>
      <w:pPr>
        <w:spacing w:after="60" w:before="200"/>
      </w:pPr>
      <w:r>
        <w:rPr>
          <w:rFonts w:ascii="Arial" w:cs="Arial" w:eastAsia="Arial" w:hAnsi="Arial"/>
          <w:b/>
          <w:bCs/>
          <w:color w:val="111827"/>
          <w:sz w:val="20"/>
          <w:szCs w:val="20"/>
        </w:rPr>
        <w:t xml:space="preserve">Modal Tag</w:t>
      </w:r>
    </w:p>
    <w:p>
      <w:pPr>
        <w:spacing w:after="100" w:before="0"/>
        <w:jc w:val="both"/>
      </w:pPr>
      <w:r>
        <w:rPr>
          <w:rFonts w:ascii="Arial" w:cs="Arial" w:eastAsia="Arial" w:hAnsi="Arial"/>
          <w:color w:val="111827"/>
          <w:sz w:val="20"/>
          <w:szCs w:val="20"/>
        </w:rPr>
        <w:t xml:space="preserve">AUTOMATION</w:t>
      </w:r>
    </w:p>
    <w:p>
      <w:pPr>
        <w:spacing w:after="60" w:before="200"/>
      </w:pPr>
      <w:r>
        <w:rPr>
          <w:rFonts w:ascii="Arial" w:cs="Arial" w:eastAsia="Arial" w:hAnsi="Arial"/>
          <w:b/>
          <w:bCs/>
          <w:color w:val="111827"/>
          <w:sz w:val="20"/>
          <w:szCs w:val="20"/>
        </w:rPr>
        <w:t xml:space="preserve">Modal Title</w:t>
      </w:r>
    </w:p>
    <w:p>
      <w:pPr>
        <w:spacing w:after="100" w:before="0"/>
        <w:jc w:val="both"/>
      </w:pPr>
      <w:r>
        <w:rPr>
          <w:rFonts w:ascii="Arial" w:cs="Arial" w:eastAsia="Arial" w:hAnsi="Arial"/>
          <w:color w:val="111827"/>
          <w:sz w:val="20"/>
          <w:szCs w:val="20"/>
        </w:rPr>
        <w:t xml:space="preserve">Lecture Intelligence Pipeline — Transcription, Summarisation and WhatsApp Distribution</w:t>
      </w:r>
    </w:p>
    <w:p>
      <w:pPr>
        <w:spacing w:after="60" w:before="200"/>
      </w:pPr>
      <w:r>
        <w:rPr>
          <w:rFonts w:ascii="Arial" w:cs="Arial" w:eastAsia="Arial" w:hAnsi="Arial"/>
          <w:b/>
          <w:bCs/>
          <w:color w:val="111827"/>
          <w:sz w:val="20"/>
          <w:szCs w:val="20"/>
        </w:rPr>
        <w:t xml:space="preserve">Modal Body</w:t>
      </w:r>
    </w:p>
    <w:p>
      <w:pPr>
        <w:spacing w:after="100" w:before="0"/>
        <w:jc w:val="both"/>
      </w:pPr>
      <w:r>
        <w:rPr>
          <w:rFonts w:ascii="Arial" w:cs="Arial" w:eastAsia="Arial" w:hAnsi="Arial"/>
          <w:color w:val="111827"/>
          <w:sz w:val="20"/>
          <w:szCs w:val="20"/>
        </w:rPr>
        <w:t xml:space="preserve">This automation was built for a non-profit organisation focused on the academic study of Islam, to capture and scale the reach of a weekly lecture series. Participants who fill out a Google Form registration at the physical event receive an AI-generated lecture summary delivered to their phones — creating an attendance incentive through digital content delivery. The pipeline runs on n8n and triggers automatically when a new lecture recording is uploaded to a designated Google Drive folder. AssemblyAI transcribes the audio across Arabic, English, and Urdu. The transcript is passed to an LLM — enriched with any pre-lecture context notes from the lecturer — to generate a structured summary including key points, Quranic and Hadith references, and thematic takeaways. The summary is routed to the lecturer via an editable Google Doc with a one-click approval mechanism. Once approved, the automation pulls a pre-designed branded template, pastes the content, and converts it to PDF. The pipeline then queries the registration Google Sheet, filters for participants from the past week, and delivers the PDF individually over WhatsApp via a custom WHAPI HTTP node — with a personalised message referencing the participant's name and the talk attended.</w:t>
      </w:r>
    </w:p>
    <w:p>
      <w:pPr>
        <w:spacing w:after="60" w:before="200"/>
      </w:pPr>
      <w:r>
        <w:rPr>
          <w:rFonts w:ascii="Arial" w:cs="Arial" w:eastAsia="Arial" w:hAnsi="Arial"/>
          <w:b/>
          <w:bCs/>
          <w:color w:val="111827"/>
          <w:sz w:val="20"/>
          <w:szCs w:val="20"/>
        </w:rPr>
        <w:t xml:space="preserve">Key Outcomes</w:t>
      </w:r>
    </w:p>
    <w:p>
      <w:pPr>
        <w:pStyle w:val="ListParagraph"/>
        <w:numPr>
          <w:ilvl w:val="0"/>
          <w:numId w:val="2"/>
        </w:numPr>
        <w:spacing w:after="40" w:before="40"/>
      </w:pPr>
      <w:r>
        <w:rPr>
          <w:rFonts w:ascii="Arial" w:cs="Arial" w:eastAsia="Arial" w:hAnsi="Arial"/>
          <w:color w:val="111827"/>
          <w:sz w:val="20"/>
          <w:szCs w:val="20"/>
        </w:rPr>
        <w:t xml:space="preserve">Deployed a multilingual transcription pipeline via AssemblyAI across Arabic, English, and Urdu, eliminating manual transcription for a recurring weekly event.</w:t>
      </w:r>
    </w:p>
    <w:p>
      <w:pPr>
        <w:pStyle w:val="ListParagraph"/>
        <w:numPr>
          <w:ilvl w:val="0"/>
          <w:numId w:val="2"/>
        </w:numPr>
        <w:spacing w:after="40" w:before="40"/>
      </w:pPr>
      <w:r>
        <w:rPr>
          <w:rFonts w:ascii="Arial" w:cs="Arial" w:eastAsia="Arial" w:hAnsi="Arial"/>
          <w:color w:val="111827"/>
          <w:sz w:val="20"/>
          <w:szCs w:val="20"/>
        </w:rPr>
        <w:t xml:space="preserve">Built an LLM summarisation layer with pre-lecture context enrichment and a one-click lecturer approval workflow via Google Docs.</w:t>
      </w:r>
    </w:p>
    <w:p>
      <w:pPr>
        <w:pStyle w:val="ListParagraph"/>
        <w:numPr>
          <w:ilvl w:val="0"/>
          <w:numId w:val="2"/>
        </w:numPr>
        <w:spacing w:after="40" w:before="40"/>
      </w:pPr>
      <w:r>
        <w:rPr>
          <w:rFonts w:ascii="Arial" w:cs="Arial" w:eastAsia="Arial" w:hAnsi="Arial"/>
          <w:color w:val="111827"/>
          <w:sz w:val="20"/>
          <w:szCs w:val="20"/>
        </w:rPr>
        <w:t xml:space="preserve">Automated branded PDF generation and personalised WhatsApp distribution to weekly registrants via a custom WHAPI HTTP integration.</w:t>
      </w:r>
    </w:p>
    <w:p>
      <w:pPr>
        <w:spacing w:after="60" w:before="200"/>
      </w:pPr>
      <w:r>
        <w:rPr>
          <w:rFonts w:ascii="Arial" w:cs="Arial" w:eastAsia="Arial" w:hAnsi="Arial"/>
          <w:b/>
          <w:bCs/>
          <w:color w:val="111827"/>
          <w:sz w:val="20"/>
          <w:szCs w:val="20"/>
        </w:rPr>
        <w:t xml:space="preserve">Tools &amp; Skills</w:t>
      </w:r>
    </w:p>
    <w:p>
      <w:pPr>
        <w:spacing w:after="60" w:before="120"/>
      </w:pPr>
      <w:r>
        <w:rPr>
          <w:rFonts w:ascii="Arial" w:cs="Arial" w:eastAsia="Arial" w:hAnsi="Arial"/>
          <w:i/>
          <w:iCs/>
          <w:color w:val="6B7280"/>
          <w:sz w:val="18"/>
          <w:szCs w:val="18"/>
        </w:rPr>
        <w:t xml:space="preserve">n8n Automation · AssemblyAI · LLM Integration · Google Drive Trigger · Google Docs · Google Sheets · WhatsApp API (WHAPI) · PDF Generation · Multilingual Transcription · Workflow Orchestration · Non-Profit Tech</w:t>
      </w:r>
    </w:p>
    <w:p>
      <w:pPr>
        <w:pBdr>
          <w:bottom w:val="single" w:color="E5E7EB" w:sz="2" w:space="1"/>
        </w:pBdr>
        <w:spacing w:after="200" w:before="200"/>
      </w:pPr>
      <w:r>
        <w:t xml:space="preserve"/>
      </w:r>
    </w:p>
    <w:p>
      <w:pPr>
        <w:spacing w:after="80" w:before="0"/>
      </w:pPr>
      <w:r>
        <w:rPr>
          <w:rFonts w:ascii="Arial" w:cs="Arial" w:eastAsia="Arial" w:hAnsi="Arial"/>
          <w:b/>
          <w:bCs/>
          <w:color w:val="2563EB"/>
          <w:sz w:val="18"/>
          <w:szCs w:val="18"/>
        </w:rPr>
        <w:t xml:space="preserve">[ COMING SOON ]</w:t>
      </w:r>
    </w:p>
    <w:p>
      <w:pPr>
        <w:spacing w:after="80" w:before="360"/>
      </w:pPr>
      <w:r>
        <w:rPr>
          <w:rFonts w:ascii="Arial" w:cs="Arial" w:eastAsia="Arial" w:hAnsi="Arial"/>
          <w:b/>
          <w:bCs/>
          <w:color w:val="111827"/>
          <w:sz w:val="24"/>
          <w:szCs w:val="24"/>
        </w:rPr>
        <w:t xml:space="preserve">Autonomous Job Application Agent — Resume Tailoring, Research and Automated Submission</w:t>
      </w:r>
    </w:p>
    <w:p>
      <w:pPr>
        <w:spacing w:after="60" w:before="200"/>
      </w:pPr>
      <w:r>
        <w:rPr>
          <w:rFonts w:ascii="Arial" w:cs="Arial" w:eastAsia="Arial" w:hAnsi="Arial"/>
          <w:b/>
          <w:bCs/>
          <w:color w:val="111827"/>
          <w:sz w:val="20"/>
          <w:szCs w:val="20"/>
        </w:rPr>
        <w:t xml:space="preserve">Card Description</w:t>
      </w:r>
    </w:p>
    <w:p>
      <w:pPr>
        <w:spacing w:after="100" w:before="0"/>
        <w:jc w:val="both"/>
      </w:pPr>
      <w:r>
        <w:rPr>
          <w:rFonts w:ascii="Arial" w:cs="Arial" w:eastAsia="Arial" w:hAnsi="Arial"/>
          <w:color w:val="111827"/>
          <w:sz w:val="20"/>
          <w:szCs w:val="20"/>
        </w:rPr>
        <w:t xml:space="preserve">An agentic AI job application system in development — autonomously surfacing opportunities across the web and LinkedIn, conducting deep company research, tailoring resumes to job descriptions, and submitting applications with human-in-the-loop flagging for edge cases.</w:t>
      </w:r>
    </w:p>
    <w:p>
      <w:pPr>
        <w:spacing w:after="60" w:before="200"/>
      </w:pPr>
      <w:r>
        <w:rPr>
          <w:rFonts w:ascii="Arial" w:cs="Arial" w:eastAsia="Arial" w:hAnsi="Arial"/>
          <w:b/>
          <w:bCs/>
          <w:color w:val="111827"/>
          <w:sz w:val="20"/>
          <w:szCs w:val="20"/>
        </w:rPr>
        <w:t xml:space="preserve">Modal Tag</w:t>
      </w:r>
    </w:p>
    <w:p>
      <w:pPr>
        <w:spacing w:after="100" w:before="0"/>
        <w:jc w:val="both"/>
      </w:pPr>
      <w:r>
        <w:rPr>
          <w:rFonts w:ascii="Arial" w:cs="Arial" w:eastAsia="Arial" w:hAnsi="Arial"/>
          <w:color w:val="111827"/>
          <w:sz w:val="20"/>
          <w:szCs w:val="20"/>
        </w:rPr>
        <w:t xml:space="preserve">COMING SOON</w:t>
      </w:r>
    </w:p>
    <w:p>
      <w:pPr>
        <w:spacing w:after="60" w:before="200"/>
      </w:pPr>
      <w:r>
        <w:rPr>
          <w:rFonts w:ascii="Arial" w:cs="Arial" w:eastAsia="Arial" w:hAnsi="Arial"/>
          <w:b/>
          <w:bCs/>
          <w:color w:val="111827"/>
          <w:sz w:val="20"/>
          <w:szCs w:val="20"/>
        </w:rPr>
        <w:t xml:space="preserve">Modal Title</w:t>
      </w:r>
    </w:p>
    <w:p>
      <w:pPr>
        <w:spacing w:after="100" w:before="0"/>
        <w:jc w:val="both"/>
      </w:pPr>
      <w:r>
        <w:rPr>
          <w:rFonts w:ascii="Arial" w:cs="Arial" w:eastAsia="Arial" w:hAnsi="Arial"/>
          <w:color w:val="111827"/>
          <w:sz w:val="20"/>
          <w:szCs w:val="20"/>
        </w:rPr>
        <w:t xml:space="preserve">Autonomous Job Application Agent — Resume Tailoring, Research and Automated Submission</w:t>
      </w:r>
    </w:p>
    <w:p>
      <w:pPr>
        <w:spacing w:after="60" w:before="200"/>
      </w:pPr>
      <w:r>
        <w:rPr>
          <w:rFonts w:ascii="Arial" w:cs="Arial" w:eastAsia="Arial" w:hAnsi="Arial"/>
          <w:b/>
          <w:bCs/>
          <w:color w:val="111827"/>
          <w:sz w:val="20"/>
          <w:szCs w:val="20"/>
        </w:rPr>
        <w:t xml:space="preserve">Modal Body</w:t>
      </w:r>
    </w:p>
    <w:p>
      <w:pPr>
        <w:spacing w:after="100" w:before="0"/>
        <w:jc w:val="both"/>
      </w:pPr>
      <w:r>
        <w:rPr>
          <w:rFonts w:ascii="Arial" w:cs="Arial" w:eastAsia="Arial" w:hAnsi="Arial"/>
          <w:color w:val="111827"/>
          <w:sz w:val="20"/>
          <w:szCs w:val="20"/>
        </w:rPr>
        <w:t xml:space="preserve">This autonomous agent is in development, designed to compress the end-to-end job application process for professionals in consulting and knowledge-intensive roles. The discovery layer continuously scrapes the web and LinkedIn for postings matching predefined criteria — role type, seniority, sector focus, and work modality. Each identified opportunity triggers a company research workstream, where the agent traverses the company's website, LinkedIn, social media, and publicly available executive profiles to build a contextual intelligence profile before any application is submitted. The resume tailoring engine ingests the job description and company profile to produce a role-specific, ATS-optimised resume — adjusting emphasis, terminology, and achievement framing for the specific role. The submission layer automates application filing where technically feasible. A human-in-the-loop layer is embedded throughout, flagging applications for review where role relevance is ambiguous, a cover letter is required, or the agent's confidence on company fit falls below a defined threshold. Work modality — remote, hybrid, or in-person — is configurable as a hard filter at the discovery stage.</w:t>
      </w:r>
    </w:p>
    <w:p>
      <w:pPr>
        <w:spacing w:after="60" w:before="200"/>
      </w:pPr>
      <w:r>
        <w:rPr>
          <w:rFonts w:ascii="Arial" w:cs="Arial" w:eastAsia="Arial" w:hAnsi="Arial"/>
          <w:b/>
          <w:bCs/>
          <w:color w:val="111827"/>
          <w:sz w:val="20"/>
          <w:szCs w:val="20"/>
        </w:rPr>
        <w:t xml:space="preserve">Key Outcomes</w:t>
      </w:r>
    </w:p>
    <w:p>
      <w:pPr>
        <w:pStyle w:val="ListParagraph"/>
        <w:numPr>
          <w:ilvl w:val="0"/>
          <w:numId w:val="2"/>
        </w:numPr>
        <w:spacing w:after="40" w:before="40"/>
      </w:pPr>
      <w:r>
        <w:rPr>
          <w:rFonts w:ascii="Arial" w:cs="Arial" w:eastAsia="Arial" w:hAnsi="Arial"/>
          <w:color w:val="111827"/>
          <w:sz w:val="20"/>
          <w:szCs w:val="20"/>
        </w:rPr>
        <w:t xml:space="preserve">Autonomous opportunity discovery across the web and LinkedIn with filters for role type, sector, seniority, and work modality.</w:t>
      </w:r>
    </w:p>
    <w:p>
      <w:pPr>
        <w:pStyle w:val="ListParagraph"/>
        <w:numPr>
          <w:ilvl w:val="0"/>
          <w:numId w:val="2"/>
        </w:numPr>
        <w:spacing w:after="40" w:before="40"/>
      </w:pPr>
      <w:r>
        <w:rPr>
          <w:rFonts w:ascii="Arial" w:cs="Arial" w:eastAsia="Arial" w:hAnsi="Arial"/>
          <w:color w:val="111827"/>
          <w:sz w:val="20"/>
          <w:szCs w:val="20"/>
        </w:rPr>
        <w:t xml:space="preserve">Deep company research engine traversing websites, LinkedIn, social media, and executive profiles ahead of each application.</w:t>
      </w:r>
    </w:p>
    <w:p>
      <w:pPr>
        <w:pStyle w:val="ListParagraph"/>
        <w:numPr>
          <w:ilvl w:val="0"/>
          <w:numId w:val="2"/>
        </w:numPr>
        <w:spacing w:after="40" w:before="40"/>
      </w:pPr>
      <w:r>
        <w:rPr>
          <w:rFonts w:ascii="Arial" w:cs="Arial" w:eastAsia="Arial" w:hAnsi="Arial"/>
          <w:color w:val="111827"/>
          <w:sz w:val="20"/>
          <w:szCs w:val="20"/>
        </w:rPr>
        <w:t xml:space="preserve">ATS-optimised resume tailoring per job description with human-in-the-loop flagging for ambiguous relevance, cover letter requirements, and low-confidence matches.</w:t>
      </w:r>
    </w:p>
    <w:p>
      <w:pPr>
        <w:spacing w:after="60" w:before="200"/>
      </w:pPr>
      <w:r>
        <w:rPr>
          <w:rFonts w:ascii="Arial" w:cs="Arial" w:eastAsia="Arial" w:hAnsi="Arial"/>
          <w:b/>
          <w:bCs/>
          <w:color w:val="111827"/>
          <w:sz w:val="20"/>
          <w:szCs w:val="20"/>
        </w:rPr>
        <w:t xml:space="preserve">Tools &amp; Skills</w:t>
      </w:r>
    </w:p>
    <w:p>
      <w:pPr>
        <w:spacing w:after="60" w:before="120"/>
      </w:pPr>
      <w:r>
        <w:rPr>
          <w:rFonts w:ascii="Arial" w:cs="Arial" w:eastAsia="Arial" w:hAnsi="Arial"/>
          <w:i/>
          <w:iCs/>
          <w:color w:val="6B7280"/>
          <w:sz w:val="18"/>
          <w:szCs w:val="18"/>
        </w:rPr>
        <w:t xml:space="preserve">Agentic AI · Web Scraping · LinkedIn Automation · Resume Tailoring · ATS Optimisation · Company Research · Human-in-the-Loop · Workflow Orchestration · LLM Integration · Job Application Automation</w:t>
      </w:r>
    </w:p>
    <w:p>
      <w:pPr>
        <w:spacing w:after="60" w:before="120"/>
      </w:pPr>
      <w:r>
        <w:rPr>
          <w:rFonts w:ascii="Arial" w:cs="Arial" w:eastAsia="Arial" w:hAnsi="Arial"/>
          <w:i/>
          <w:iCs/>
          <w:color w:val="6B7280"/>
          <w:sz w:val="18"/>
          <w:szCs w:val="18"/>
        </w:rPr>
        <w:t xml:space="preserve">This project is currently under active development. Check back soon.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Portfolio Prompt — Replit Website Update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2026-04-08T01:46:29.192Z</dcterms:created>
  <dcterms:modified xsi:type="dcterms:W3CDTF">2026-04-08T01:46:29.194Z</dcterms:modified>
</cp:coreProperties>
</file>

<file path=docProps/custom.xml><?xml version="1.0" encoding="utf-8"?>
<Properties xmlns="http://schemas.openxmlformats.org/officeDocument/2006/custom-properties" xmlns:vt="http://schemas.openxmlformats.org/officeDocument/2006/docPropsVTypes"/>
</file>