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11827"/>
          <w:sz w:val="40"/>
          <w:szCs w:val="40"/>
        </w:rPr>
        <w:t xml:space="preserve">SPROJ Case Study Card — Replit Prompt</w:t>
      </w:r>
    </w:p>
    <w:p>
      <w:pPr>
        <w:spacing w:after="480" w:before="0"/>
        <w:jc w:val="center"/>
      </w:pPr>
      <w:r>
        <w:rPr>
          <w:rFonts w:ascii="Arial" w:cs="Arial" w:eastAsia="Arial" w:hAnsi="Arial"/>
          <w:i/>
          <w:iCs/>
          <w:color w:val="6B7280"/>
          <w:sz w:val="22"/>
          <w:szCs w:val="22"/>
        </w:rPr>
        <w:t xml:space="preserve">Add a new card to the Academic / Research section of the portfolio</w:t>
      </w:r>
    </w:p>
    <w:p>
      <w:pPr>
        <w:pBdr>
          <w:bottom w:val="single" w:color="2563EB" w:sz="4" w:space="4"/>
        </w:pBdr>
        <w:spacing w:after="120" w:before="480"/>
      </w:pPr>
      <w:r>
        <w:rPr>
          <w:rFonts w:ascii="Arial" w:cs="Arial" w:eastAsia="Arial" w:hAnsi="Arial"/>
          <w:b/>
          <w:bCs/>
          <w:color w:val="2563EB"/>
          <w:sz w:val="28"/>
          <w:szCs w:val="28"/>
        </w:rPr>
        <w:t xml:space="preserve">ACADEMIC PROJECT CARD</w:t>
      </w:r>
    </w:p>
    <w:p>
      <w:pPr>
        <w:spacing w:after="80" w:before="0"/>
      </w:pPr>
      <w:r>
        <w:rPr>
          <w:rFonts w:ascii="Arial" w:cs="Arial" w:eastAsia="Arial" w:hAnsi="Arial"/>
          <w:b/>
          <w:bCs/>
          <w:color w:val="2563EB"/>
          <w:sz w:val="18"/>
          <w:szCs w:val="18"/>
        </w:rPr>
        <w:t xml:space="preserve">[ RESEARCH ]</w:t>
      </w:r>
    </w:p>
    <w:p>
      <w:pPr>
        <w:spacing w:after="80" w:before="360"/>
      </w:pPr>
      <w:r>
        <w:rPr>
          <w:rFonts w:ascii="Arial" w:cs="Arial" w:eastAsia="Arial" w:hAnsi="Arial"/>
          <w:b/>
          <w:bCs/>
          <w:color w:val="111827"/>
          <w:sz w:val="24"/>
          <w:szCs w:val="24"/>
        </w:rPr>
        <w:t xml:space="preserve">Gendered Financial Barriers — Women Entrepreneurs in Pakistan's MSME Landscape</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A LUMS Senior Year Project examining the financial exclusion of women-led micro-enterprises in Pakistan — analysing barriers across formal banking, microfinance, fintech, and informal lending, supported by primary interviews and a quantitative financial modelling workstream.</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RESEARCH</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Gendered Financial Barriers — Women Entrepreneurs in Pakistan's MSME Landscape</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This case study, produced as a Senior Year Project at LUMS, explores the systemic financial exclusion faced by women-led MSMEs in Pakistan. Built around the narrative of Amina — a home-based tailor in Lahore aspiring to formalise and scale her business — the case maps the structural and gendered barriers that prevent women micro-entrepreneurs from accessing formal credit. Despite MSMEs constituting 90% of Pakistani businesses and generating 40% of GDP, SME lending stood at just 5.2% of private sector credit as of late 2024, with women receiving only 5% of available MSME financing. The study deconstructs the full financing landscape available to women like Amina — commercial banks, microfinance institutions, digital nano-lenders, government-subsidised schemes (such as SAAF loans), informal ROSCAs, and family lending — evaluating each across accessibility, effective interest cost, repayment structure, and scalability. The qualitative analysis surfaces three core research questions: the role of collateral requirements, documentation gaps, and financial illiteracy in perpetuating exclusion; the potential and limitations of fintech in bridging the credit gap; and the structural gaps in government policy design and institutional outreach. The quantitative workstream models loan repayment obligations, DSCR, net operating cash flows, and IRR across three fixed scenarios, supplemented by a sensitivity analysis stress-testing outcomes under adverse revenue and interest rate conditions. Primary research was conducted through semi-structured interviews with practitioners in microfinance, fintech, and financial inclusion.</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Mapped the end-to-end financing landscape for women micro-entrepreneurs in Pakistan across formal, semi-formal, digital, and informal channels — benchmarked on cost, accessibility, tenure, and scalability.</w:t>
      </w:r>
    </w:p>
    <w:p>
      <w:pPr>
        <w:pStyle w:val="ListParagraph"/>
        <w:numPr>
          <w:ilvl w:val="0"/>
          <w:numId w:val="2"/>
        </w:numPr>
        <w:spacing w:after="40" w:before="40"/>
      </w:pPr>
      <w:r>
        <w:rPr>
          <w:rFonts w:ascii="Arial" w:cs="Arial" w:eastAsia="Arial" w:hAnsi="Arial"/>
          <w:color w:val="111827"/>
          <w:sz w:val="20"/>
          <w:szCs w:val="20"/>
        </w:rPr>
        <w:t xml:space="preserve">Conducted primary research via semi-structured interviews with microfinance and financial inclusion practitioners to ground qualitative analysis in practitioner insight.</w:t>
      </w:r>
    </w:p>
    <w:p>
      <w:pPr>
        <w:pStyle w:val="ListParagraph"/>
        <w:numPr>
          <w:ilvl w:val="0"/>
          <w:numId w:val="2"/>
        </w:numPr>
        <w:spacing w:after="40" w:before="40"/>
      </w:pPr>
      <w:r>
        <w:rPr>
          <w:rFonts w:ascii="Arial" w:cs="Arial" w:eastAsia="Arial" w:hAnsi="Arial"/>
          <w:color w:val="111827"/>
          <w:sz w:val="20"/>
          <w:szCs w:val="20"/>
        </w:rPr>
        <w:t xml:space="preserve">Built a quantitative financial model comparing MFI, digital fintech, and government SAAF loan scenarios across repayment burden, DSCR, net cash flow, and IRR — with sensitivity testing across revenue and interest rate fluctuations.</w:t>
      </w:r>
    </w:p>
    <w:p>
      <w:pPr>
        <w:pStyle w:val="ListParagraph"/>
        <w:numPr>
          <w:ilvl w:val="0"/>
          <w:numId w:val="2"/>
        </w:numPr>
        <w:spacing w:after="40" w:before="40"/>
      </w:pPr>
      <w:r>
        <w:rPr>
          <w:rFonts w:ascii="Arial" w:cs="Arial" w:eastAsia="Arial" w:hAnsi="Arial"/>
          <w:color w:val="111827"/>
          <w:sz w:val="20"/>
          <w:szCs w:val="20"/>
        </w:rPr>
        <w:t xml:space="preserve">Identified systemic policy and institutional gaps in Pakistan's gender-inclusive finance landscape and proposed fintech-enabled product and policy interventions.</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Case Study Research · Financial Modelling · Sensitivity Analysis · Gender Economics · MSME Finance · Microfinance Analysis · Fintech Landscape Mapping · Primary Interviews · Policy Analysis · DSCR &amp; IRR Modelling · Lahore University of Management Sciences</w:t>
      </w:r>
    </w:p>
    <w:p>
      <w:pPr>
        <w:spacing w:after="60" w:before="200"/>
      </w:pPr>
      <w:r>
        <w:rPr>
          <w:rFonts w:ascii="Arial" w:cs="Arial" w:eastAsia="Arial" w:hAnsi="Arial"/>
          <w:b/>
          <w:bCs/>
          <w:color w:val="111827"/>
          <w:sz w:val="20"/>
          <w:szCs w:val="20"/>
        </w:rPr>
        <w:t xml:space="preserve">View Full Project</w:t>
      </w:r>
    </w:p>
    <w:p>
      <w:pPr>
        <w:spacing w:after="60" w:before="140"/>
      </w:pPr>
      <w:hyperlink w:history="1" r:id="rIdy-y4imz3avtjm64bpz54d">
        <w:r>
          <w:rPr>
            <w:rFonts w:ascii="Arial" w:cs="Arial" w:eastAsia="Arial" w:hAnsi="Arial"/>
            <w:color w:val="2563EB"/>
            <w:sz w:val="20"/>
            <w:szCs w:val="20"/>
            <w:u w:val="single"/>
          </w:rPr>
          <w:t xml:space="preserve">View Full Project</w:t>
        </w:r>
      </w:hyperlink>
    </w:p>
    <w:p>
      <w:pPr>
        <w:pBdr>
          <w:bottom w:val="single" w:color="E5E7EB" w:sz="2" w:space="1"/>
        </w:pBdr>
        <w:spacing w:after="200" w:before="200"/>
      </w:pPr>
      <w:r>
        <w:t xml:space="preserve"/>
      </w:r>
    </w:p>
    <w:p>
      <w:pPr>
        <w:spacing w:after="60" w:before="200"/>
      </w:pPr>
      <w:r>
        <w:rPr>
          <w:rFonts w:ascii="Arial" w:cs="Arial" w:eastAsia="Arial" w:hAnsi="Arial"/>
          <w:b/>
          <w:bCs/>
          <w:color w:val="111827"/>
          <w:sz w:val="20"/>
          <w:szCs w:val="20"/>
        </w:rPr>
        <w:t xml:space="preserve">Implementation Note</w:t>
      </w:r>
    </w:p>
    <w:p>
      <w:pPr>
        <w:spacing w:after="100" w:before="0"/>
        <w:jc w:val="both"/>
      </w:pPr>
      <w:r>
        <w:rPr>
          <w:rFonts w:ascii="Arial" w:cs="Arial" w:eastAsia="Arial" w:hAnsi="Arial"/>
          <w:color w:val="111827"/>
          <w:sz w:val="20"/>
          <w:szCs w:val="20"/>
        </w:rPr>
        <w:t xml:space="preserve">Add this as a new card in the portfolio under an "Academic" or "Research" section (or whichever section label fits the existing site structure). The card should follow the same layout pattern as the existing consulting and project cards. The "View Full Project" link at the bottom of the modal should route to the Google Drive URL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Portfolio Prompt — SPROJ Card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y4imz3avtjm64bpz54d" Type="http://schemas.openxmlformats.org/officeDocument/2006/relationships/hyperlink" Target="https://drive.google.com/drive/folders/17_ctXmxf3aJbYQGS-NNBeAMpnjGlq_N1?usp=drive_link"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2026-04-08T02:07:33.628Z</dcterms:created>
  <dcterms:modified xsi:type="dcterms:W3CDTF">2026-04-08T02:07:33.647Z</dcterms:modified>
</cp:coreProperties>
</file>

<file path=docProps/custom.xml><?xml version="1.0" encoding="utf-8"?>
<Properties xmlns="http://schemas.openxmlformats.org/officeDocument/2006/custom-properties" xmlns:vt="http://schemas.openxmlformats.org/officeDocument/2006/docPropsVTypes"/>
</file>