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11827"/>
          <w:sz w:val="40"/>
          <w:szCs w:val="40"/>
        </w:rPr>
        <w:t xml:space="preserve">Naseeha Automation — Landing Page Prompt</w:t>
      </w:r>
    </w:p>
    <w:p>
      <w:pPr>
        <w:spacing w:after="480" w:before="0"/>
        <w:jc w:val="center"/>
      </w:pPr>
      <w:r>
        <w:rPr>
          <w:rFonts w:ascii="Arial" w:cs="Arial" w:eastAsia="Arial" w:hAnsi="Arial"/>
          <w:i/>
          <w:iCs/>
          <w:color w:val="6B7280"/>
          <w:sz w:val="22"/>
          <w:szCs w:val="22"/>
        </w:rPr>
        <w:t xml:space="preserve">Full project landing page: content, structure, pipeline visualisation, and design reference</w:t>
      </w:r>
    </w:p>
    <w:p>
      <w:pPr>
        <w:pBdr>
          <w:bottom w:val="single" w:color="2563EB" w:sz="4" w:space="4"/>
        </w:pBdr>
        <w:spacing w:after="120" w:before="480"/>
      </w:pPr>
      <w:r>
        <w:rPr>
          <w:rFonts w:ascii="Arial" w:cs="Arial" w:eastAsia="Arial" w:hAnsi="Arial"/>
          <w:b/>
          <w:bCs/>
          <w:color w:val="2563EB"/>
          <w:sz w:val="28"/>
          <w:szCs w:val="28"/>
        </w:rPr>
        <w:t xml:space="preserve">1. Page Overview</w:t>
      </w:r>
    </w:p>
    <w:p>
      <w:pPr>
        <w:spacing w:after="100" w:before="0"/>
        <w:jc w:val="both"/>
      </w:pPr>
      <w:r>
        <w:rPr>
          <w:rFonts w:ascii="Arial" w:cs="Arial" w:eastAsia="Arial" w:hAnsi="Arial"/>
          <w:color w:val="111827"/>
          <w:sz w:val="20"/>
          <w:szCs w:val="20"/>
        </w:rPr>
        <w:t xml:space="preserve">Build a dedicated project landing page for the Naseeha Lecture Intelligence Pipeline. This is a standalone page (not a card modal) that documents the full end-to-end automation in detail. It should feel like a clean, editorial case study — prose sections, a pipeline visualisation, outcome callouts, and a tools section — consistent with the overall site design language.</w:t>
      </w:r>
    </w:p>
    <w:p>
      <w:pPr>
        <w:pBdr>
          <w:bottom w:val="single" w:color="2563EB" w:sz="4" w:space="4"/>
        </w:pBdr>
        <w:spacing w:after="120" w:before="480"/>
      </w:pPr>
      <w:r>
        <w:rPr>
          <w:rFonts w:ascii="Arial" w:cs="Arial" w:eastAsia="Arial" w:hAnsi="Arial"/>
          <w:b/>
          <w:bCs/>
          <w:color w:val="2563EB"/>
          <w:sz w:val="28"/>
          <w:szCs w:val="28"/>
        </w:rPr>
        <w:t xml:space="preserve">2. Hero Section</w:t>
      </w:r>
    </w:p>
    <w:p>
      <w:pPr>
        <w:spacing w:after="60" w:before="200"/>
      </w:pPr>
      <w:r>
        <w:rPr>
          <w:rFonts w:ascii="Arial" w:cs="Arial" w:eastAsia="Arial" w:hAnsi="Arial"/>
          <w:b/>
          <w:bCs/>
          <w:color w:val="111827"/>
          <w:sz w:val="20"/>
          <w:szCs w:val="20"/>
        </w:rPr>
        <w:t xml:space="preserve">Tag</w:t>
      </w:r>
    </w:p>
    <w:p>
      <w:pPr>
        <w:spacing w:after="100" w:before="0"/>
        <w:jc w:val="both"/>
      </w:pPr>
      <w:r>
        <w:rPr>
          <w:rFonts w:ascii="Arial" w:cs="Arial" w:eastAsia="Arial" w:hAnsi="Arial"/>
          <w:color w:val="111827"/>
          <w:sz w:val="20"/>
          <w:szCs w:val="20"/>
        </w:rPr>
        <w:t xml:space="preserve">AUTOMATION</w:t>
      </w:r>
    </w:p>
    <w:p>
      <w:pPr>
        <w:spacing w:after="60" w:before="200"/>
      </w:pPr>
      <w:r>
        <w:rPr>
          <w:rFonts w:ascii="Arial" w:cs="Arial" w:eastAsia="Arial" w:hAnsi="Arial"/>
          <w:b/>
          <w:bCs/>
          <w:color w:val="111827"/>
          <w:sz w:val="20"/>
          <w:szCs w:val="20"/>
        </w:rPr>
        <w:t xml:space="preserve">Title</w:t>
      </w:r>
    </w:p>
    <w:p>
      <w:pPr>
        <w:spacing w:after="100" w:before="0"/>
        <w:jc w:val="both"/>
      </w:pPr>
      <w:r>
        <w:rPr>
          <w:rFonts w:ascii="Arial" w:cs="Arial" w:eastAsia="Arial" w:hAnsi="Arial"/>
          <w:color w:val="111827"/>
          <w:sz w:val="20"/>
          <w:szCs w:val="20"/>
        </w:rPr>
        <w:t xml:space="preserve">Lecture Intelligence Pipeline</w:t>
      </w:r>
    </w:p>
    <w:p>
      <w:pPr>
        <w:spacing w:after="60" w:before="200"/>
      </w:pPr>
      <w:r>
        <w:rPr>
          <w:rFonts w:ascii="Arial" w:cs="Arial" w:eastAsia="Arial" w:hAnsi="Arial"/>
          <w:b/>
          <w:bCs/>
          <w:color w:val="111827"/>
          <w:sz w:val="20"/>
          <w:szCs w:val="20"/>
        </w:rPr>
        <w:t xml:space="preserve">Subtitle</w:t>
      </w:r>
    </w:p>
    <w:p>
      <w:pPr>
        <w:spacing w:after="100" w:before="0"/>
        <w:jc w:val="both"/>
      </w:pPr>
      <w:r>
        <w:rPr>
          <w:rFonts w:ascii="Arial" w:cs="Arial" w:eastAsia="Arial" w:hAnsi="Arial"/>
          <w:color w:val="111827"/>
          <w:sz w:val="20"/>
          <w:szCs w:val="20"/>
        </w:rPr>
        <w:t xml:space="preserve">An end-to-end n8n automation that transcribes multilingual weekly Islamic lectures, generates AI-powered summaries, routes them through a human review workflow, formats branded PDFs, and delivers them personally to registered attendees over WhatsApp — turning each physical gathering into a scalable digital content loop.</w:t>
      </w:r>
    </w:p>
    <w:p>
      <w:pPr>
        <w:spacing w:after="60" w:before="200"/>
      </w:pPr>
      <w:r>
        <w:rPr>
          <w:rFonts w:ascii="Arial" w:cs="Arial" w:eastAsia="Arial" w:hAnsi="Arial"/>
          <w:b/>
          <w:bCs/>
          <w:color w:val="111827"/>
          <w:sz w:val="20"/>
          <w:szCs w:val="20"/>
        </w:rPr>
        <w:t xml:space="preserve">Organisation</w:t>
      </w:r>
    </w:p>
    <w:p>
      <w:pPr>
        <w:spacing w:after="100" w:before="0"/>
        <w:jc w:val="both"/>
      </w:pPr>
      <w:r>
        <w:rPr>
          <w:rFonts w:ascii="Arial" w:cs="Arial" w:eastAsia="Arial" w:hAnsi="Arial"/>
          <w:color w:val="111827"/>
          <w:sz w:val="20"/>
          <w:szCs w:val="20"/>
        </w:rPr>
        <w:t xml:space="preserve">Built for Naseeha — a non-profit organisation dedicated to the academic study of Islam, running a recurring weekly lecture series in Lahore.</w:t>
      </w:r>
    </w:p>
    <w:p>
      <w:pPr>
        <w:pBdr>
          <w:bottom w:val="single" w:color="2563EB" w:sz="4" w:space="4"/>
        </w:pBdr>
        <w:spacing w:after="120" w:before="480"/>
      </w:pPr>
      <w:r>
        <w:rPr>
          <w:rFonts w:ascii="Arial" w:cs="Arial" w:eastAsia="Arial" w:hAnsi="Arial"/>
          <w:b/>
          <w:bCs/>
          <w:color w:val="2563EB"/>
          <w:sz w:val="28"/>
          <w:szCs w:val="28"/>
        </w:rPr>
        <w:t xml:space="preserve">3. The Goal</w:t>
      </w:r>
    </w:p>
    <w:p>
      <w:pPr>
        <w:spacing w:after="60" w:before="200"/>
      </w:pPr>
      <w:r>
        <w:rPr>
          <w:rFonts w:ascii="Arial" w:cs="Arial" w:eastAsia="Arial" w:hAnsi="Arial"/>
          <w:b/>
          <w:bCs/>
          <w:color w:val="111827"/>
          <w:sz w:val="20"/>
          <w:szCs w:val="20"/>
        </w:rPr>
        <w:t xml:space="preserve">Section heading</w:t>
      </w:r>
    </w:p>
    <w:p>
      <w:pPr>
        <w:spacing w:after="100" w:before="0"/>
        <w:jc w:val="both"/>
      </w:pPr>
      <w:r>
        <w:rPr>
          <w:rFonts w:ascii="Arial" w:cs="Arial" w:eastAsia="Arial" w:hAnsi="Arial"/>
          <w:color w:val="111827"/>
          <w:sz w:val="20"/>
          <w:szCs w:val="20"/>
        </w:rPr>
        <w:t xml:space="preserve">What We Were Trying to Solve</w:t>
      </w:r>
    </w:p>
    <w:p>
      <w:pPr>
        <w:spacing w:after="60" w:before="200"/>
      </w:pPr>
      <w:r>
        <w:rPr>
          <w:rFonts w:ascii="Arial" w:cs="Arial" w:eastAsia="Arial" w:hAnsi="Arial"/>
          <w:b/>
          <w:bCs/>
          <w:color w:val="111827"/>
          <w:sz w:val="20"/>
          <w:szCs w:val="20"/>
        </w:rPr>
        <w:t xml:space="preserve">Body copy</w:t>
      </w:r>
    </w:p>
    <w:p>
      <w:pPr>
        <w:spacing w:after="100" w:before="0"/>
        <w:jc w:val="both"/>
      </w:pPr>
      <w:r>
        <w:rPr>
          <w:rFonts w:ascii="Arial" w:cs="Arial" w:eastAsia="Arial" w:hAnsi="Arial"/>
          <w:color w:val="111827"/>
          <w:sz w:val="20"/>
          <w:szCs w:val="20"/>
        </w:rPr>
        <w:t xml:space="preserve">Naseeha's weekly lectures were reaching people in the room — but stopping there. There was no systematic way to extend the session's value beyond the physical space, no mechanism to understand who was showing up repeatedly, and no insight into whether those attendees were transitioning into deeper engagement with the institute's broader programme offerings.</w:t>
      </w:r>
    </w:p>
    <w:p>
      <w:pPr>
        <w:spacing w:after="100" w:before="0"/>
        <w:jc w:val="both"/>
      </w:pPr>
      <w:r>
        <w:rPr>
          <w:rFonts w:ascii="Arial" w:cs="Arial" w:eastAsia="Arial" w:hAnsi="Arial"/>
          <w:color w:val="111827"/>
          <w:sz w:val="20"/>
          <w:szCs w:val="20"/>
        </w:rPr>
        <w:t xml:space="preserve">The project was designed to address three interconnected goals:</w:t>
      </w:r>
    </w:p>
    <w:p>
      <w:pPr>
        <w:pStyle w:val="ListParagraph"/>
        <w:numPr>
          <w:ilvl w:val="0"/>
          <w:numId w:val="2"/>
        </w:numPr>
        <w:spacing w:after="40" w:before="40"/>
      </w:pPr>
      <w:r>
        <w:rPr>
          <w:rFonts w:ascii="Arial" w:cs="Arial" w:eastAsia="Arial" w:hAnsi="Arial"/>
          <w:color w:val="111827"/>
          <w:sz w:val="20"/>
          <w:szCs w:val="20"/>
        </w:rPr>
        <w:t xml:space="preserve">Capture and scale the physical footprint of the weekly gathering — creating a digital content artefact (a summarised PDF) that gives people a reason to register in person.</w:t>
      </w:r>
    </w:p>
    <w:p>
      <w:pPr>
        <w:pStyle w:val="ListParagraph"/>
        <w:numPr>
          <w:ilvl w:val="0"/>
          <w:numId w:val="2"/>
        </w:numPr>
        <w:spacing w:after="40" w:before="40"/>
      </w:pPr>
      <w:r>
        <w:rPr>
          <w:rFonts w:ascii="Arial" w:cs="Arial" w:eastAsia="Arial" w:hAnsi="Arial"/>
          <w:color w:val="111827"/>
          <w:sz w:val="20"/>
          <w:szCs w:val="20"/>
        </w:rPr>
        <w:t xml:space="preserve">Track repeat attendance — building a longitudinal picture of who is coming back week after week, enabling the institute to understand its most engaged community members.</w:t>
      </w:r>
    </w:p>
    <w:p>
      <w:pPr>
        <w:pStyle w:val="ListParagraph"/>
        <w:numPr>
          <w:ilvl w:val="0"/>
          <w:numId w:val="2"/>
        </w:numPr>
        <w:spacing w:after="40" w:before="40"/>
      </w:pPr>
      <w:r>
        <w:rPr>
          <w:rFonts w:ascii="Arial" w:cs="Arial" w:eastAsia="Arial" w:hAnsi="Arial"/>
          <w:color w:val="111827"/>
          <w:sz w:val="20"/>
          <w:szCs w:val="20"/>
        </w:rPr>
        <w:t xml:space="preserve">Map funnel transitions — understanding which regular attendees move into other streams offered by the institute (e.g. advanced courses, volunteer programmes, structured study circles), effectively giving Naseeha a view of its full engagement funnel from first attendance to deeper commitment.</w:t>
      </w:r>
    </w:p>
    <w:p>
      <w:pPr>
        <w:spacing w:after="100" w:before="0"/>
        <w:jc w:val="both"/>
      </w:pPr>
      <w:r>
        <w:rPr>
          <w:rFonts w:ascii="Arial" w:cs="Arial" w:eastAsia="Arial" w:hAnsi="Arial"/>
          <w:color w:val="111827"/>
          <w:sz w:val="20"/>
          <w:szCs w:val="20"/>
        </w:rPr>
        <w:t xml:space="preserve">The automation pipeline was the mechanism to achieve all three simultaneously — without any manual overhead.</w:t>
      </w:r>
    </w:p>
    <w:p>
      <w:pPr>
        <w:pBdr>
          <w:bottom w:val="single" w:color="2563EB" w:sz="4" w:space="4"/>
        </w:pBdr>
        <w:spacing w:after="120" w:before="480"/>
      </w:pPr>
      <w:r>
        <w:rPr>
          <w:rFonts w:ascii="Arial" w:cs="Arial" w:eastAsia="Arial" w:hAnsi="Arial"/>
          <w:b/>
          <w:bCs/>
          <w:color w:val="2563EB"/>
          <w:sz w:val="28"/>
          <w:szCs w:val="28"/>
        </w:rPr>
        <w:t xml:space="preserve">4. Pipeline Visualisation</w:t>
      </w:r>
    </w:p>
    <w:p>
      <w:pPr>
        <w:spacing w:after="60" w:before="200"/>
      </w:pPr>
      <w:r>
        <w:rPr>
          <w:rFonts w:ascii="Arial" w:cs="Arial" w:eastAsia="Arial" w:hAnsi="Arial"/>
          <w:b/>
          <w:bCs/>
          <w:color w:val="111827"/>
          <w:sz w:val="20"/>
          <w:szCs w:val="20"/>
        </w:rPr>
        <w:t xml:space="preserve">Section heading</w:t>
      </w:r>
    </w:p>
    <w:p>
      <w:pPr>
        <w:spacing w:after="100" w:before="0"/>
        <w:jc w:val="both"/>
      </w:pPr>
      <w:r>
        <w:rPr>
          <w:rFonts w:ascii="Arial" w:cs="Arial" w:eastAsia="Arial" w:hAnsi="Arial"/>
          <w:color w:val="111827"/>
          <w:sz w:val="20"/>
          <w:szCs w:val="20"/>
        </w:rPr>
        <w:t xml:space="preserve">How the Pipeline Works — End to End</w:t>
      </w:r>
    </w:p>
    <w:p>
      <w:pPr>
        <w:spacing w:after="60" w:before="200"/>
      </w:pPr>
      <w:r>
        <w:rPr>
          <w:rFonts w:ascii="Arial" w:cs="Arial" w:eastAsia="Arial" w:hAnsi="Arial"/>
          <w:b/>
          <w:bCs/>
          <w:color w:val="111827"/>
          <w:sz w:val="20"/>
          <w:szCs w:val="20"/>
        </w:rPr>
        <w:t xml:space="preserve">Design instruction</w:t>
      </w:r>
    </w:p>
    <w:p>
      <w:pPr>
        <w:spacing w:after="100" w:before="0"/>
        <w:jc w:val="both"/>
      </w:pPr>
      <w:r>
        <w:rPr>
          <w:rFonts w:ascii="Arial" w:cs="Arial" w:eastAsia="Arial" w:hAnsi="Arial"/>
          <w:color w:val="111827"/>
          <w:sz w:val="20"/>
          <w:szCs w:val="20"/>
        </w:rPr>
        <w:t xml:space="preserve">Insert an interactive pipeline diagram here. The diagram should be rendered as a clean, vertical node-signposted flow — similar to an n8n canvas — showing each stage of the automation as a labelled node, with connecting arrows between them. Colour-code by node type (trigger, processing, conditional, human review, output). Use the pipeline reference diagram provided separately as the design reference. The diagram should be interactive — clicking a node should expand a short description of what happens at that stage.</w:t>
      </w:r>
    </w:p>
    <w:p>
      <w:pPr>
        <w:spacing w:after="60" w:before="200"/>
      </w:pPr>
      <w:r>
        <w:rPr>
          <w:rFonts w:ascii="Arial" w:cs="Arial" w:eastAsia="Arial" w:hAnsi="Arial"/>
          <w:b/>
          <w:bCs/>
          <w:color w:val="111827"/>
          <w:sz w:val="20"/>
          <w:szCs w:val="20"/>
        </w:rPr>
        <w:t xml:space="preserve">Pipeline stages to represent as nodes (in order)</w:t>
      </w:r>
    </w:p>
    <w:p>
      <w:pPr>
        <w:pStyle w:val="ListParagraph"/>
        <w:numPr>
          <w:ilvl w:val="0"/>
          <w:numId w:val="2"/>
        </w:numPr>
        <w:spacing w:after="40" w:before="40"/>
      </w:pPr>
      <w:r>
        <w:rPr>
          <w:rFonts w:ascii="Arial" w:cs="Arial" w:eastAsia="Arial" w:hAnsi="Arial"/>
          <w:color w:val="111827"/>
          <w:sz w:val="20"/>
          <w:szCs w:val="20"/>
        </w:rPr>
        <w:t xml:space="preserve">Google Drive Trigger — pipeline activates automatically when a new lecture recording is uploaded to the designated folder</w:t>
      </w:r>
    </w:p>
    <w:p>
      <w:pPr>
        <w:pStyle w:val="ListParagraph"/>
        <w:numPr>
          <w:ilvl w:val="0"/>
          <w:numId w:val="2"/>
        </w:numPr>
        <w:spacing w:after="40" w:before="40"/>
      </w:pPr>
      <w:r>
        <w:rPr>
          <w:rFonts w:ascii="Arial" w:cs="Arial" w:eastAsia="Arial" w:hAnsi="Arial"/>
          <w:color w:val="111827"/>
          <w:sz w:val="20"/>
          <w:szCs w:val="20"/>
        </w:rPr>
        <w:t xml:space="preserve">Wait Node — build-time buffer to ensure the transcript has fully processed before the next stage is called</w:t>
      </w:r>
    </w:p>
    <w:p>
      <w:pPr>
        <w:pStyle w:val="ListParagraph"/>
        <w:numPr>
          <w:ilvl w:val="0"/>
          <w:numId w:val="2"/>
        </w:numPr>
        <w:spacing w:after="40" w:before="40"/>
      </w:pPr>
      <w:r>
        <w:rPr>
          <w:rFonts w:ascii="Arial" w:cs="Arial" w:eastAsia="Arial" w:hAnsi="Arial"/>
          <w:color w:val="111827"/>
          <w:sz w:val="20"/>
          <w:szCs w:val="20"/>
        </w:rPr>
        <w:t xml:space="preserve">AssemblyAI Transcription — audio transcribed across Arabic, English, and Urdu using AssemblyAI's native n8n integration</w:t>
      </w:r>
    </w:p>
    <w:p>
      <w:pPr>
        <w:pStyle w:val="ListParagraph"/>
        <w:numPr>
          <w:ilvl w:val="0"/>
          <w:numId w:val="2"/>
        </w:numPr>
        <w:spacing w:after="40" w:before="40"/>
      </w:pPr>
      <w:r>
        <w:rPr>
          <w:rFonts w:ascii="Arial" w:cs="Arial" w:eastAsia="Arial" w:hAnsi="Arial"/>
          <w:color w:val="111827"/>
          <w:sz w:val="20"/>
          <w:szCs w:val="20"/>
        </w:rPr>
        <w:t xml:space="preserve">Context Notes Check — IF/conditional branch: if pre-lecture context notes exist, they are passed alongside the transcript; if not, the pipeline shifts to the no-context branch and proceeds with transcript alone</w:t>
      </w:r>
    </w:p>
    <w:p>
      <w:pPr>
        <w:pStyle w:val="ListParagraph"/>
        <w:numPr>
          <w:ilvl w:val="0"/>
          <w:numId w:val="2"/>
        </w:numPr>
        <w:spacing w:after="40" w:before="40"/>
      </w:pPr>
      <w:r>
        <w:rPr>
          <w:rFonts w:ascii="Arial" w:cs="Arial" w:eastAsia="Arial" w:hAnsi="Arial"/>
          <w:color w:val="111827"/>
          <w:sz w:val="20"/>
          <w:szCs w:val="20"/>
        </w:rPr>
        <w:t xml:space="preserve">Merged Branch — both conditional paths converge before entering the summarisation stage</w:t>
      </w:r>
    </w:p>
    <w:p>
      <w:pPr>
        <w:pStyle w:val="ListParagraph"/>
        <w:numPr>
          <w:ilvl w:val="0"/>
          <w:numId w:val="2"/>
        </w:numPr>
        <w:spacing w:after="40" w:before="40"/>
      </w:pPr>
      <w:r>
        <w:rPr>
          <w:rFonts w:ascii="Arial" w:cs="Arial" w:eastAsia="Arial" w:hAnsi="Arial"/>
          <w:color w:val="111827"/>
          <w:sz w:val="20"/>
          <w:szCs w:val="20"/>
        </w:rPr>
        <w:t xml:space="preserve">LLM Summarisation — Claude Haiku (role-segregated for cost efficiency) generates a structured summary using a defined system prompt and message prompt, covering key points, Quranic and Hadith references, and thematic takeaways</w:t>
      </w:r>
    </w:p>
    <w:p>
      <w:pPr>
        <w:pStyle w:val="ListParagraph"/>
        <w:numPr>
          <w:ilvl w:val="0"/>
          <w:numId w:val="2"/>
        </w:numPr>
        <w:spacing w:after="40" w:before="40"/>
      </w:pPr>
      <w:r>
        <w:rPr>
          <w:rFonts w:ascii="Arial" w:cs="Arial" w:eastAsia="Arial" w:hAnsi="Arial"/>
          <w:color w:val="111827"/>
          <w:sz w:val="20"/>
          <w:szCs w:val="20"/>
        </w:rPr>
        <w:t xml:space="preserve">Branded Google Doc Template — content is pasted into a pre-designed organisational template via an HTTP node, preserving logos, formatting, and branding; content is appended to the appropriate section of the template</w:t>
      </w:r>
    </w:p>
    <w:p>
      <w:pPr>
        <w:pStyle w:val="ListParagraph"/>
        <w:numPr>
          <w:ilvl w:val="0"/>
          <w:numId w:val="2"/>
        </w:numPr>
        <w:spacing w:after="40" w:before="40"/>
      </w:pPr>
      <w:r>
        <w:rPr>
          <w:rFonts w:ascii="Arial" w:cs="Arial" w:eastAsia="Arial" w:hAnsi="Arial"/>
          <w:color w:val="111827"/>
          <w:sz w:val="20"/>
          <w:szCs w:val="20"/>
        </w:rPr>
        <w:t xml:space="preserve">Human-in-the-Loop Review — the draft is routed to a reviewer via an editable Google Doc link; configurable approval logic determines when it can proceed</w:t>
      </w:r>
    </w:p>
    <w:p>
      <w:pPr>
        <w:pStyle w:val="ListParagraph"/>
        <w:numPr>
          <w:ilvl w:val="0"/>
          <w:numId w:val="2"/>
        </w:numPr>
        <w:spacing w:after="40" w:before="40"/>
      </w:pPr>
      <w:r>
        <w:rPr>
          <w:rFonts w:ascii="Arial" w:cs="Arial" w:eastAsia="Arial" w:hAnsi="Arial"/>
          <w:color w:val="111827"/>
          <w:sz w:val="20"/>
          <w:szCs w:val="20"/>
        </w:rPr>
        <w:t xml:space="preserve">Approval Logic — configurable: (a) any 1 of 4 named reviewers approves via email, (b) minimum 2 reviewers must approve before the pipeline continues, (c) expert feedback is captured, looped back into the LLM, and automatic edits are made to the report before re-review</w:t>
      </w:r>
    </w:p>
    <w:p>
      <w:pPr>
        <w:pStyle w:val="ListParagraph"/>
        <w:numPr>
          <w:ilvl w:val="0"/>
          <w:numId w:val="2"/>
        </w:numPr>
        <w:spacing w:after="40" w:before="40"/>
      </w:pPr>
      <w:r>
        <w:rPr>
          <w:rFonts w:ascii="Arial" w:cs="Arial" w:eastAsia="Arial" w:hAnsi="Arial"/>
          <w:color w:val="111827"/>
          <w:sz w:val="20"/>
          <w:szCs w:val="20"/>
        </w:rPr>
        <w:t xml:space="preserve">PDF Generation — approved Google Doc is converted to a formatted PDF retaining all branding</w:t>
      </w:r>
    </w:p>
    <w:p>
      <w:pPr>
        <w:pStyle w:val="ListParagraph"/>
        <w:numPr>
          <w:ilvl w:val="0"/>
          <w:numId w:val="2"/>
        </w:numPr>
        <w:spacing w:after="40" w:before="40"/>
      </w:pPr>
      <w:r>
        <w:rPr>
          <w:rFonts w:ascii="Arial" w:cs="Arial" w:eastAsia="Arial" w:hAnsi="Arial"/>
          <w:color w:val="111827"/>
          <w:sz w:val="20"/>
          <w:szCs w:val="20"/>
        </w:rPr>
        <w:t xml:space="preserve">Google Sheets Query — registration data from the sign-in Google Form is queried; filtered to only include participants who registered in the past 7 days</w:t>
      </w:r>
    </w:p>
    <w:p>
      <w:pPr>
        <w:pStyle w:val="ListParagraph"/>
        <w:numPr>
          <w:ilvl w:val="0"/>
          <w:numId w:val="2"/>
        </w:numPr>
        <w:spacing w:after="40" w:before="40"/>
      </w:pPr>
      <w:r>
        <w:rPr>
          <w:rFonts w:ascii="Arial" w:cs="Arial" w:eastAsia="Arial" w:hAnsi="Arial"/>
          <w:color w:val="111827"/>
          <w:sz w:val="20"/>
          <w:szCs w:val="20"/>
        </w:rPr>
        <w:t xml:space="preserve">Loop Over Registrants — the pipeline iterates over each registrant entry, with a wait delay built between each iteration to prevent WhatsApp API spam detection and ensure loop efficiency</w:t>
      </w:r>
    </w:p>
    <w:p>
      <w:pPr>
        <w:pStyle w:val="ListParagraph"/>
        <w:numPr>
          <w:ilvl w:val="0"/>
          <w:numId w:val="2"/>
        </w:numPr>
        <w:spacing w:after="40" w:before="40"/>
      </w:pPr>
      <w:r>
        <w:rPr>
          <w:rFonts w:ascii="Arial" w:cs="Arial" w:eastAsia="Arial" w:hAnsi="Arial"/>
          <w:color w:val="111827"/>
          <w:sz w:val="20"/>
          <w:szCs w:val="20"/>
        </w:rPr>
        <w:t xml:space="preserve">WhatsApp Dispatch (WHAPI) — each registrant receives a personalised WhatsApp message including their name and the specific session they attended, with the PDF attached</w:t>
      </w:r>
    </w:p>
    <w:p>
      <w:pPr>
        <w:pStyle w:val="ListParagraph"/>
        <w:numPr>
          <w:ilvl w:val="0"/>
          <w:numId w:val="2"/>
        </w:numPr>
        <w:spacing w:after="40" w:before="40"/>
      </w:pPr>
      <w:r>
        <w:rPr>
          <w:rFonts w:ascii="Arial" w:cs="Arial" w:eastAsia="Arial" w:hAnsi="Arial"/>
          <w:color w:val="111827"/>
          <w:sz w:val="20"/>
          <w:szCs w:val="20"/>
        </w:rPr>
        <w:t xml:space="preserve">Attendance and Funnel Tracking — registration data feeds a longitudinal tracker capturing repeat attendance patterns and transitions into other institute programmes</w:t>
      </w:r>
    </w:p>
    <w:p>
      <w:pPr>
        <w:pBdr>
          <w:bottom w:val="single" w:color="2563EB" w:sz="4" w:space="4"/>
        </w:pBdr>
        <w:spacing w:after="120" w:before="480"/>
      </w:pPr>
      <w:r>
        <w:rPr>
          <w:rFonts w:ascii="Arial" w:cs="Arial" w:eastAsia="Arial" w:hAnsi="Arial"/>
          <w:b/>
          <w:bCs/>
          <w:color w:val="2563EB"/>
          <w:sz w:val="28"/>
          <w:szCs w:val="28"/>
        </w:rPr>
        <w:t xml:space="preserve">5. Technical Architecture</w:t>
      </w:r>
    </w:p>
    <w:p>
      <w:pPr>
        <w:spacing w:after="60" w:before="200"/>
      </w:pPr>
      <w:r>
        <w:rPr>
          <w:rFonts w:ascii="Arial" w:cs="Arial" w:eastAsia="Arial" w:hAnsi="Arial"/>
          <w:b/>
          <w:bCs/>
          <w:color w:val="111827"/>
          <w:sz w:val="20"/>
          <w:szCs w:val="20"/>
        </w:rPr>
        <w:t xml:space="preserve">Section heading</w:t>
      </w:r>
    </w:p>
    <w:p>
      <w:pPr>
        <w:spacing w:after="100" w:before="0"/>
        <w:jc w:val="both"/>
      </w:pPr>
      <w:r>
        <w:rPr>
          <w:rFonts w:ascii="Arial" w:cs="Arial" w:eastAsia="Arial" w:hAnsi="Arial"/>
          <w:color w:val="111827"/>
          <w:sz w:val="20"/>
          <w:szCs w:val="20"/>
        </w:rPr>
        <w:t xml:space="preserve">Under the Hood — What Makes It Work</w:t>
      </w:r>
    </w:p>
    <w:p>
      <w:pPr>
        <w:spacing w:after="80" w:before="320"/>
      </w:pPr>
      <w:r>
        <w:rPr>
          <w:rFonts w:ascii="Arial" w:cs="Arial" w:eastAsia="Arial" w:hAnsi="Arial"/>
          <w:b/>
          <w:bCs/>
          <w:color w:val="111827"/>
          <w:sz w:val="22"/>
          <w:szCs w:val="22"/>
        </w:rPr>
        <w:t xml:space="preserve">Conditional and Merged Branching</w:t>
      </w:r>
    </w:p>
    <w:p>
      <w:pPr>
        <w:spacing w:after="100" w:before="0"/>
        <w:jc w:val="both"/>
      </w:pPr>
      <w:r>
        <w:rPr>
          <w:rFonts w:ascii="Arial" w:cs="Arial" w:eastAsia="Arial" w:hAnsi="Arial"/>
          <w:color w:val="111827"/>
          <w:sz w:val="20"/>
          <w:szCs w:val="20"/>
        </w:rPr>
        <w:t xml:space="preserve">Not every session comes with pre-lecture context notes from the lecturer. The pipeline handles this gracefully through a conditional IF branch: when context notes are present, they are merged with the transcript before being passed to the LLM, enriching the summary with the lecturer's own framing and references. When they are absent, the pipeline routes to a separate branch that proceeds with the transcript alone. Both branches converge at a merge node before entering summarisation — ensuring the downstream logic is identical regardless of which path was taken.</w:t>
      </w:r>
    </w:p>
    <w:p>
      <w:pPr>
        <w:spacing w:after="80" w:before="320"/>
      </w:pPr>
      <w:r>
        <w:rPr>
          <w:rFonts w:ascii="Arial" w:cs="Arial" w:eastAsia="Arial" w:hAnsi="Arial"/>
          <w:b/>
          <w:bCs/>
          <w:color w:val="111827"/>
          <w:sz w:val="22"/>
          <w:szCs w:val="22"/>
        </w:rPr>
        <w:t xml:space="preserve">Human-in-the-Loop with Configurable Approval Logic</w:t>
      </w:r>
    </w:p>
    <w:p>
      <w:pPr>
        <w:spacing w:after="100" w:before="0"/>
        <w:jc w:val="both"/>
      </w:pPr>
      <w:r>
        <w:rPr>
          <w:rFonts w:ascii="Arial" w:cs="Arial" w:eastAsia="Arial" w:hAnsi="Arial"/>
          <w:color w:val="111827"/>
          <w:sz w:val="20"/>
          <w:szCs w:val="20"/>
        </w:rPr>
        <w:t xml:space="preserve">The review stage is built to be flexible rather than fixed. Three approval modes can be configured depending on the organisation's needs:</w:t>
      </w:r>
    </w:p>
    <w:p>
      <w:pPr>
        <w:pStyle w:val="ListParagraph"/>
        <w:numPr>
          <w:ilvl w:val="0"/>
          <w:numId w:val="2"/>
        </w:numPr>
        <w:spacing w:after="40" w:before="40"/>
      </w:pPr>
      <w:r>
        <w:rPr>
          <w:rFonts w:ascii="Arial" w:cs="Arial" w:eastAsia="Arial" w:hAnsi="Arial"/>
          <w:color w:val="111827"/>
          <w:sz w:val="20"/>
          <w:szCs w:val="20"/>
        </w:rPr>
        <w:t xml:space="preserve">Single approver from a list — any one of four designated reviewers can approve via a one-click email link, triggering the pipeline to continue</w:t>
      </w:r>
    </w:p>
    <w:p>
      <w:pPr>
        <w:pStyle w:val="ListParagraph"/>
        <w:numPr>
          <w:ilvl w:val="0"/>
          <w:numId w:val="2"/>
        </w:numPr>
        <w:spacing w:after="40" w:before="40"/>
      </w:pPr>
      <w:r>
        <w:rPr>
          <w:rFonts w:ascii="Arial" w:cs="Arial" w:eastAsia="Arial" w:hAnsi="Arial"/>
          <w:color w:val="111827"/>
          <w:sz w:val="20"/>
          <w:szCs w:val="20"/>
        </w:rPr>
        <w:t xml:space="preserve">Minimum threshold — a minimum of two reviewers must approve before the pipeline proceeds, ensuring consensus for sensitive or high-distribution sessions</w:t>
      </w:r>
    </w:p>
    <w:p>
      <w:pPr>
        <w:pStyle w:val="ListParagraph"/>
        <w:numPr>
          <w:ilvl w:val="0"/>
          <w:numId w:val="2"/>
        </w:numPr>
        <w:spacing w:after="40" w:before="40"/>
      </w:pPr>
      <w:r>
        <w:rPr>
          <w:rFonts w:ascii="Arial" w:cs="Arial" w:eastAsia="Arial" w:hAnsi="Arial"/>
          <w:color w:val="111827"/>
          <w:sz w:val="20"/>
          <w:szCs w:val="20"/>
        </w:rPr>
        <w:t xml:space="preserve">Expert feedback loop — a reviewer (such as a religious scholar) can submit written feedback on the summary, which is automatically looped back into the LLM, which then makes the edits and regenerates the relevant sections of the report before routing it back for a final approval pass</w:t>
      </w:r>
    </w:p>
    <w:p>
      <w:pPr>
        <w:spacing w:after="80" w:before="320"/>
      </w:pPr>
      <w:r>
        <w:rPr>
          <w:rFonts w:ascii="Arial" w:cs="Arial" w:eastAsia="Arial" w:hAnsi="Arial"/>
          <w:b/>
          <w:bCs/>
          <w:color w:val="111827"/>
          <w:sz w:val="22"/>
          <w:szCs w:val="22"/>
        </w:rPr>
        <w:t xml:space="preserve">Branded Templating via HTTP Node</w:t>
      </w:r>
    </w:p>
    <w:p>
      <w:pPr>
        <w:spacing w:after="100" w:before="0"/>
        <w:jc w:val="both"/>
      </w:pPr>
      <w:r>
        <w:rPr>
          <w:rFonts w:ascii="Arial" w:cs="Arial" w:eastAsia="Arial" w:hAnsi="Arial"/>
          <w:color w:val="111827"/>
          <w:sz w:val="20"/>
          <w:szCs w:val="20"/>
        </w:rPr>
        <w:t xml:space="preserve">Rather than generating a plain-text output, the pipeline populates a pre-designed Google Doc template that carries the organisation's branding — logo, typography, section headers, and formatting. Content is inserted and appended to the correct sections via a structured HTTP node call, ensuring the final PDF always looks like an official Naseeha publication rather than a raw LLM output.</w:t>
      </w:r>
    </w:p>
    <w:p>
      <w:pPr>
        <w:spacing w:after="80" w:before="320"/>
      </w:pPr>
      <w:r>
        <w:rPr>
          <w:rFonts w:ascii="Arial" w:cs="Arial" w:eastAsia="Arial" w:hAnsi="Arial"/>
          <w:b/>
          <w:bCs/>
          <w:color w:val="111827"/>
          <w:sz w:val="22"/>
          <w:szCs w:val="22"/>
        </w:rPr>
        <w:t xml:space="preserve">LLM Role Segregation for Credits Efficiency</w:t>
      </w:r>
    </w:p>
    <w:p>
      <w:pPr>
        <w:spacing w:after="100" w:before="0"/>
        <w:jc w:val="both"/>
      </w:pPr>
      <w:r>
        <w:rPr>
          <w:rFonts w:ascii="Arial" w:cs="Arial" w:eastAsia="Arial" w:hAnsi="Arial"/>
          <w:color w:val="111827"/>
          <w:sz w:val="20"/>
          <w:szCs w:val="20"/>
        </w:rPr>
        <w:t xml:space="preserve">Different tasks in the pipeline use different models, matched to the complexity of the task. The summarisation workstream — which requires nuanced, structured Arabic/English/Urdu comprehension — uses a capable but lightweight model (Claude Haiku) to keep token costs efficient. The system prompt defines the organisational context, tone, and output structure; the message prompt passes the session-specific inputs. This separation keeps the model focused and the outputs consistent across weeks.</w:t>
      </w:r>
    </w:p>
    <w:p>
      <w:pPr>
        <w:spacing w:after="80" w:before="320"/>
      </w:pPr>
      <w:r>
        <w:rPr>
          <w:rFonts w:ascii="Arial" w:cs="Arial" w:eastAsia="Arial" w:hAnsi="Arial"/>
          <w:b/>
          <w:bCs/>
          <w:color w:val="111827"/>
          <w:sz w:val="22"/>
          <w:szCs w:val="22"/>
        </w:rPr>
        <w:t xml:space="preserve">Guard Rails and Wait Nodes</w:t>
      </w:r>
    </w:p>
    <w:p>
      <w:pPr>
        <w:pStyle w:val="ListParagraph"/>
        <w:numPr>
          <w:ilvl w:val="0"/>
          <w:numId w:val="2"/>
        </w:numPr>
        <w:spacing w:after="40" w:before="40"/>
      </w:pPr>
      <w:r>
        <w:rPr>
          <w:rFonts w:ascii="Arial" w:cs="Arial" w:eastAsia="Arial" w:hAnsi="Arial"/>
          <w:color w:val="111827"/>
          <w:sz w:val="20"/>
          <w:szCs w:val="20"/>
        </w:rPr>
        <w:t xml:space="preserve">Transcript build buffer — a wait node is inserted after the Drive trigger to give AssemblyAI sufficient time to process the audio file before the transcript is fetched, preventing failed pulls on large files</w:t>
      </w:r>
    </w:p>
    <w:p>
      <w:pPr>
        <w:pStyle w:val="ListParagraph"/>
        <w:numPr>
          <w:ilvl w:val="0"/>
          <w:numId w:val="2"/>
        </w:numPr>
        <w:spacing w:after="40" w:before="40"/>
      </w:pPr>
      <w:r>
        <w:rPr>
          <w:rFonts w:ascii="Arial" w:cs="Arial" w:eastAsia="Arial" w:hAnsi="Arial"/>
          <w:color w:val="111827"/>
          <w:sz w:val="20"/>
          <w:szCs w:val="20"/>
        </w:rPr>
        <w:t xml:space="preserve">Anti-spam loop delay — a configurable wait time is inserted between each WhatsApp message send within the registrant loop, preventing the API from flagging the account for bulk messaging and ensuring reliable delivery</w:t>
      </w:r>
    </w:p>
    <w:p>
      <w:pPr>
        <w:pStyle w:val="ListParagraph"/>
        <w:numPr>
          <w:ilvl w:val="0"/>
          <w:numId w:val="2"/>
        </w:numPr>
        <w:spacing w:after="40" w:before="40"/>
      </w:pPr>
      <w:r>
        <w:rPr>
          <w:rFonts w:ascii="Arial" w:cs="Arial" w:eastAsia="Arial" w:hAnsi="Arial"/>
          <w:color w:val="111827"/>
          <w:sz w:val="20"/>
          <w:szCs w:val="20"/>
        </w:rPr>
        <w:t xml:space="preserve">Filtering logic — the Google Sheets query includes conditional filters to ensure only registrants from the current week are included, preventing repeat delivery to prior attendees and ensuring clean data hygiene</w:t>
      </w:r>
    </w:p>
    <w:p>
      <w:pPr>
        <w:pBdr>
          <w:bottom w:val="single" w:color="2563EB" w:sz="4" w:space="4"/>
        </w:pBdr>
        <w:spacing w:after="120" w:before="480"/>
      </w:pPr>
      <w:r>
        <w:rPr>
          <w:rFonts w:ascii="Arial" w:cs="Arial" w:eastAsia="Arial" w:hAnsi="Arial"/>
          <w:b/>
          <w:bCs/>
          <w:color w:val="2563EB"/>
          <w:sz w:val="28"/>
          <w:szCs w:val="28"/>
        </w:rPr>
        <w:t xml:space="preserve">6. Key Outcomes</w:t>
      </w:r>
    </w:p>
    <w:p>
      <w:pPr>
        <w:spacing w:after="60" w:before="200"/>
      </w:pPr>
      <w:r>
        <w:rPr>
          <w:rFonts w:ascii="Arial" w:cs="Arial" w:eastAsia="Arial" w:hAnsi="Arial"/>
          <w:b/>
          <w:bCs/>
          <w:color w:val="111827"/>
          <w:sz w:val="20"/>
          <w:szCs w:val="20"/>
        </w:rPr>
        <w:t xml:space="preserve">Section heading</w:t>
      </w:r>
    </w:p>
    <w:p>
      <w:pPr>
        <w:spacing w:after="100" w:before="0"/>
        <w:jc w:val="both"/>
      </w:pPr>
      <w:r>
        <w:rPr>
          <w:rFonts w:ascii="Arial" w:cs="Arial" w:eastAsia="Arial" w:hAnsi="Arial"/>
          <w:color w:val="111827"/>
          <w:sz w:val="20"/>
          <w:szCs w:val="20"/>
        </w:rPr>
        <w:t xml:space="preserve">What This Delivered</w:t>
      </w:r>
    </w:p>
    <w:p>
      <w:pPr>
        <w:pStyle w:val="ListParagraph"/>
        <w:numPr>
          <w:ilvl w:val="0"/>
          <w:numId w:val="2"/>
        </w:numPr>
        <w:spacing w:after="40" w:before="40"/>
      </w:pPr>
      <w:r>
        <w:rPr>
          <w:rFonts w:ascii="Arial" w:cs="Arial" w:eastAsia="Arial" w:hAnsi="Arial"/>
          <w:color w:val="111827"/>
          <w:sz w:val="20"/>
          <w:szCs w:val="20"/>
        </w:rPr>
        <w:t xml:space="preserve">Deployed a fully automated multilingual transcription and summarisation pipeline across Arabic, English, and Urdu — eliminating all manual transcription and note-taking overhead for a recurring weekly event.</w:t>
      </w:r>
    </w:p>
    <w:p>
      <w:pPr>
        <w:pStyle w:val="ListParagraph"/>
        <w:numPr>
          <w:ilvl w:val="0"/>
          <w:numId w:val="2"/>
        </w:numPr>
        <w:spacing w:after="40" w:before="40"/>
      </w:pPr>
      <w:r>
        <w:rPr>
          <w:rFonts w:ascii="Arial" w:cs="Arial" w:eastAsia="Arial" w:hAnsi="Arial"/>
          <w:color w:val="111827"/>
          <w:sz w:val="20"/>
          <w:szCs w:val="20"/>
        </w:rPr>
        <w:t xml:space="preserve">Built a configurable human-in-the-loop review layer with three approval modes and an expert feedback loop, ensuring every output meets the organisation's scholarly and editorial standards before distribution.</w:t>
      </w:r>
    </w:p>
    <w:p>
      <w:pPr>
        <w:pStyle w:val="ListParagraph"/>
        <w:numPr>
          <w:ilvl w:val="0"/>
          <w:numId w:val="2"/>
        </w:numPr>
        <w:spacing w:after="40" w:before="40"/>
      </w:pPr>
      <w:r>
        <w:rPr>
          <w:rFonts w:ascii="Arial" w:cs="Arial" w:eastAsia="Arial" w:hAnsi="Arial"/>
          <w:color w:val="111827"/>
          <w:sz w:val="20"/>
          <w:szCs w:val="20"/>
        </w:rPr>
        <w:t xml:space="preserve">Established a physical-to-digital attendance capture mechanism — each in-person registrant receives a personalised AI-generated summary via WhatsApp, creating a tangible incentive for sign-up and building a longitudinal attendance dataset.</w:t>
      </w:r>
    </w:p>
    <w:p>
      <w:pPr>
        <w:pStyle w:val="ListParagraph"/>
        <w:numPr>
          <w:ilvl w:val="0"/>
          <w:numId w:val="2"/>
        </w:numPr>
        <w:spacing w:after="40" w:before="40"/>
      </w:pPr>
      <w:r>
        <w:rPr>
          <w:rFonts w:ascii="Arial" w:cs="Arial" w:eastAsia="Arial" w:hAnsi="Arial"/>
          <w:color w:val="111827"/>
          <w:sz w:val="20"/>
          <w:szCs w:val="20"/>
        </w:rPr>
        <w:t xml:space="preserve">Created the data infrastructure to track repeat participation and funnel transitions across Naseeha's programme offerings — giving the institute its first systematic view of community engagement depth.</w:t>
      </w:r>
    </w:p>
    <w:p>
      <w:pPr>
        <w:pStyle w:val="ListParagraph"/>
        <w:numPr>
          <w:ilvl w:val="0"/>
          <w:numId w:val="2"/>
        </w:numPr>
        <w:spacing w:after="40" w:before="40"/>
      </w:pPr>
      <w:r>
        <w:rPr>
          <w:rFonts w:ascii="Arial" w:cs="Arial" w:eastAsia="Arial" w:hAnsi="Arial"/>
          <w:color w:val="111827"/>
          <w:sz w:val="20"/>
          <w:szCs w:val="20"/>
        </w:rPr>
        <w:t xml:space="preserve">Automated branded PDF generation from a pre-designed organisational template, ensuring every distributed document is visually consistent with Naseeha's identity.</w:t>
      </w:r>
    </w:p>
    <w:p>
      <w:pPr>
        <w:pBdr>
          <w:bottom w:val="single" w:color="2563EB" w:sz="4" w:space="4"/>
        </w:pBdr>
        <w:spacing w:after="120" w:before="480"/>
      </w:pPr>
      <w:r>
        <w:rPr>
          <w:rFonts w:ascii="Arial" w:cs="Arial" w:eastAsia="Arial" w:hAnsi="Arial"/>
          <w:b/>
          <w:bCs/>
          <w:color w:val="2563EB"/>
          <w:sz w:val="28"/>
          <w:szCs w:val="28"/>
        </w:rPr>
        <w:t xml:space="preserve">7. Tools and Stack</w:t>
      </w:r>
    </w:p>
    <w:p>
      <w:pPr>
        <w:spacing w:after="60" w:before="200"/>
      </w:pPr>
      <w:r>
        <w:rPr>
          <w:rFonts w:ascii="Arial" w:cs="Arial" w:eastAsia="Arial" w:hAnsi="Arial"/>
          <w:b/>
          <w:bCs/>
          <w:color w:val="111827"/>
          <w:sz w:val="20"/>
          <w:szCs w:val="20"/>
        </w:rPr>
        <w:t xml:space="preserve">Render as a tag/pill grid</w:t>
      </w:r>
    </w:p>
    <w:p>
      <w:pPr>
        <w:spacing w:after="60" w:before="120"/>
      </w:pPr>
      <w:r>
        <w:rPr>
          <w:rFonts w:ascii="Arial" w:cs="Arial" w:eastAsia="Arial" w:hAnsi="Arial"/>
          <w:i/>
          <w:iCs/>
          <w:color w:val="6B7280"/>
          <w:sz w:val="18"/>
          <w:szCs w:val="18"/>
        </w:rPr>
        <w:t xml:space="preserve">n8n Automation · AssemblyAI · Claude Haiku (LLM) · Google Drive · Google Docs · Google Sheets · WhatsApp API (WHAPI) · HTTP Node · PDF Conversion · Conditional Branching · Multilingual Transcription · Human-in-the-Loop Workflow · Workflow Orchestration</w:t>
      </w:r>
    </w:p>
    <w:p>
      <w:pPr>
        <w:pBdr>
          <w:bottom w:val="single" w:color="E5E7EB" w:sz="2" w:space="1"/>
        </w:pBdr>
        <w:spacing w:after="200" w:before="200"/>
      </w:pPr>
      <w:r>
        <w:t xml:space="preserve"/>
      </w:r>
    </w:p>
    <w:p>
      <w:pPr>
        <w:pBdr>
          <w:bottom w:val="single" w:color="2563EB" w:sz="4" w:space="4"/>
        </w:pBdr>
        <w:spacing w:after="120" w:before="480"/>
      </w:pPr>
      <w:r>
        <w:rPr>
          <w:rFonts w:ascii="Arial" w:cs="Arial" w:eastAsia="Arial" w:hAnsi="Arial"/>
          <w:b/>
          <w:bCs/>
          <w:color w:val="2563EB"/>
          <w:sz w:val="28"/>
          <w:szCs w:val="28"/>
        </w:rPr>
        <w:t xml:space="preserve">8. Logos and Visual Elements</w:t>
      </w:r>
    </w:p>
    <w:p>
      <w:pPr>
        <w:spacing w:after="60" w:before="200"/>
      </w:pPr>
      <w:r>
        <w:rPr>
          <w:rFonts w:ascii="Arial" w:cs="Arial" w:eastAsia="Arial" w:hAnsi="Arial"/>
          <w:b/>
          <w:bCs/>
          <w:color w:val="111827"/>
          <w:sz w:val="20"/>
          <w:szCs w:val="20"/>
        </w:rPr>
        <w:t xml:space="preserve">Tool logos to display</w:t>
      </w:r>
    </w:p>
    <w:p>
      <w:pPr>
        <w:spacing w:after="100" w:before="0"/>
        <w:jc w:val="both"/>
      </w:pPr>
      <w:r>
        <w:rPr>
          <w:rFonts w:ascii="Arial" w:cs="Arial" w:eastAsia="Arial" w:hAnsi="Arial"/>
          <w:color w:val="111827"/>
          <w:sz w:val="20"/>
          <w:szCs w:val="20"/>
        </w:rPr>
        <w:t xml:space="preserve">Source and display the official logos for the following tools in a horizontal logo strip on the page. These should appear in greyscale by default and reveal colour on hover, consistent with how tool logos are typically displayed on portfolio case study pages:</w:t>
      </w:r>
    </w:p>
    <w:p>
      <w:pPr>
        <w:pStyle w:val="ListParagraph"/>
        <w:numPr>
          <w:ilvl w:val="0"/>
          <w:numId w:val="2"/>
        </w:numPr>
        <w:spacing w:after="40" w:before="40"/>
      </w:pPr>
      <w:r>
        <w:rPr>
          <w:rFonts w:ascii="Arial" w:cs="Arial" w:eastAsia="Arial" w:hAnsi="Arial"/>
          <w:color w:val="111827"/>
          <w:sz w:val="20"/>
          <w:szCs w:val="20"/>
        </w:rPr>
        <w:t xml:space="preserve">n8n</w:t>
      </w:r>
    </w:p>
    <w:p>
      <w:pPr>
        <w:pStyle w:val="ListParagraph"/>
        <w:numPr>
          <w:ilvl w:val="0"/>
          <w:numId w:val="2"/>
        </w:numPr>
        <w:spacing w:after="40" w:before="40"/>
      </w:pPr>
      <w:r>
        <w:rPr>
          <w:rFonts w:ascii="Arial" w:cs="Arial" w:eastAsia="Arial" w:hAnsi="Arial"/>
          <w:color w:val="111827"/>
          <w:sz w:val="20"/>
          <w:szCs w:val="20"/>
        </w:rPr>
        <w:t xml:space="preserve">AssemblyAI</w:t>
      </w:r>
    </w:p>
    <w:p>
      <w:pPr>
        <w:pStyle w:val="ListParagraph"/>
        <w:numPr>
          <w:ilvl w:val="0"/>
          <w:numId w:val="2"/>
        </w:numPr>
        <w:spacing w:after="40" w:before="40"/>
      </w:pPr>
      <w:r>
        <w:rPr>
          <w:rFonts w:ascii="Arial" w:cs="Arial" w:eastAsia="Arial" w:hAnsi="Arial"/>
          <w:color w:val="111827"/>
          <w:sz w:val="20"/>
          <w:szCs w:val="20"/>
        </w:rPr>
        <w:t xml:space="preserve">Anthropic / Claude</w:t>
      </w:r>
    </w:p>
    <w:p>
      <w:pPr>
        <w:pStyle w:val="ListParagraph"/>
        <w:numPr>
          <w:ilvl w:val="0"/>
          <w:numId w:val="2"/>
        </w:numPr>
        <w:spacing w:after="40" w:before="40"/>
      </w:pPr>
      <w:r>
        <w:rPr>
          <w:rFonts w:ascii="Arial" w:cs="Arial" w:eastAsia="Arial" w:hAnsi="Arial"/>
          <w:color w:val="111827"/>
          <w:sz w:val="20"/>
          <w:szCs w:val="20"/>
        </w:rPr>
        <w:t xml:space="preserve">Google Drive</w:t>
      </w:r>
    </w:p>
    <w:p>
      <w:pPr>
        <w:pStyle w:val="ListParagraph"/>
        <w:numPr>
          <w:ilvl w:val="0"/>
          <w:numId w:val="2"/>
        </w:numPr>
        <w:spacing w:after="40" w:before="40"/>
      </w:pPr>
      <w:r>
        <w:rPr>
          <w:rFonts w:ascii="Arial" w:cs="Arial" w:eastAsia="Arial" w:hAnsi="Arial"/>
          <w:color w:val="111827"/>
          <w:sz w:val="20"/>
          <w:szCs w:val="20"/>
        </w:rPr>
        <w:t xml:space="preserve">Google Docs</w:t>
      </w:r>
    </w:p>
    <w:p>
      <w:pPr>
        <w:pStyle w:val="ListParagraph"/>
        <w:numPr>
          <w:ilvl w:val="0"/>
          <w:numId w:val="2"/>
        </w:numPr>
        <w:spacing w:after="40" w:before="40"/>
      </w:pPr>
      <w:r>
        <w:rPr>
          <w:rFonts w:ascii="Arial" w:cs="Arial" w:eastAsia="Arial" w:hAnsi="Arial"/>
          <w:color w:val="111827"/>
          <w:sz w:val="20"/>
          <w:szCs w:val="20"/>
        </w:rPr>
        <w:t xml:space="preserve">Google Sheets</w:t>
      </w:r>
    </w:p>
    <w:p>
      <w:pPr>
        <w:pStyle w:val="ListParagraph"/>
        <w:numPr>
          <w:ilvl w:val="0"/>
          <w:numId w:val="2"/>
        </w:numPr>
        <w:spacing w:after="40" w:before="40"/>
      </w:pPr>
      <w:r>
        <w:rPr>
          <w:rFonts w:ascii="Arial" w:cs="Arial" w:eastAsia="Arial" w:hAnsi="Arial"/>
          <w:color w:val="111827"/>
          <w:sz w:val="20"/>
          <w:szCs w:val="20"/>
        </w:rPr>
        <w:t xml:space="preserve">WhatsApp</w:t>
      </w:r>
    </w:p>
    <w:p>
      <w:pPr>
        <w:spacing w:after="60" w:before="200"/>
      </w:pPr>
      <w:r>
        <w:rPr>
          <w:rFonts w:ascii="Arial" w:cs="Arial" w:eastAsia="Arial" w:hAnsi="Arial"/>
          <w:b/>
          <w:bCs/>
          <w:color w:val="111827"/>
          <w:sz w:val="20"/>
          <w:szCs w:val="20"/>
        </w:rPr>
        <w:t xml:space="preserve">Pipeline diagram</w:t>
      </w:r>
    </w:p>
    <w:p>
      <w:pPr>
        <w:spacing w:after="100" w:before="0"/>
        <w:jc w:val="both"/>
      </w:pPr>
      <w:r>
        <w:rPr>
          <w:rFonts w:ascii="Arial" w:cs="Arial" w:eastAsia="Arial" w:hAnsi="Arial"/>
          <w:color w:val="111827"/>
          <w:sz w:val="20"/>
          <w:szCs w:val="20"/>
        </w:rPr>
        <w:t xml:space="preserve">Use the pipeline visualisation provided (see Section 4 above and the separate SVG/design reference) as the centrepiece visual of the page, placed after the project goal section and before the technical architecture breakdown. It should be rendered interactively — nodes should be clickable and expand descriptions.</w:t>
      </w:r>
    </w:p>
    <w:p>
      <w:pPr>
        <w:pBdr>
          <w:bottom w:val="single" w:color="2563EB" w:sz="4" w:space="4"/>
        </w:pBdr>
        <w:spacing w:after="120" w:before="480"/>
      </w:pPr>
      <w:r>
        <w:rPr>
          <w:rFonts w:ascii="Arial" w:cs="Arial" w:eastAsia="Arial" w:hAnsi="Arial"/>
          <w:b/>
          <w:bCs/>
          <w:color w:val="2563EB"/>
          <w:sz w:val="28"/>
          <w:szCs w:val="28"/>
        </w:rPr>
        <w:t xml:space="preserve">9. Suggested Page Structure (Top to Bottom)</w:t>
      </w:r>
    </w:p>
    <w:p>
      <w:pPr>
        <w:pStyle w:val="ListParagraph"/>
        <w:numPr>
          <w:ilvl w:val="0"/>
          <w:numId w:val="2"/>
        </w:numPr>
        <w:spacing w:after="40" w:before="40"/>
      </w:pPr>
      <w:r>
        <w:rPr>
          <w:rFonts w:ascii="Arial" w:cs="Arial" w:eastAsia="Arial" w:hAnsi="Arial"/>
          <w:color w:val="111827"/>
          <w:sz w:val="20"/>
          <w:szCs w:val="20"/>
        </w:rPr>
        <w:t xml:space="preserve">Hero — tag, title, subtitle, organisation name</w:t>
      </w:r>
    </w:p>
    <w:p>
      <w:pPr>
        <w:pStyle w:val="ListParagraph"/>
        <w:numPr>
          <w:ilvl w:val="0"/>
          <w:numId w:val="2"/>
        </w:numPr>
        <w:spacing w:after="40" w:before="40"/>
      </w:pPr>
      <w:r>
        <w:rPr>
          <w:rFonts w:ascii="Arial" w:cs="Arial" w:eastAsia="Arial" w:hAnsi="Arial"/>
          <w:color w:val="111827"/>
          <w:sz w:val="20"/>
          <w:szCs w:val="20"/>
        </w:rPr>
        <w:t xml:space="preserve">The Goal — three-part goal description with brief prose</w:t>
      </w:r>
    </w:p>
    <w:p>
      <w:pPr>
        <w:pStyle w:val="ListParagraph"/>
        <w:numPr>
          <w:ilvl w:val="0"/>
          <w:numId w:val="2"/>
        </w:numPr>
        <w:spacing w:after="40" w:before="40"/>
      </w:pPr>
      <w:r>
        <w:rPr>
          <w:rFonts w:ascii="Arial" w:cs="Arial" w:eastAsia="Arial" w:hAnsi="Arial"/>
          <w:color w:val="111827"/>
          <w:sz w:val="20"/>
          <w:szCs w:val="20"/>
        </w:rPr>
        <w:t xml:space="preserve">Pipeline Visualisation — interactive node diagram (centrepiece)</w:t>
      </w:r>
    </w:p>
    <w:p>
      <w:pPr>
        <w:pStyle w:val="ListParagraph"/>
        <w:numPr>
          <w:ilvl w:val="0"/>
          <w:numId w:val="2"/>
        </w:numPr>
        <w:spacing w:after="40" w:before="40"/>
      </w:pPr>
      <w:r>
        <w:rPr>
          <w:rFonts w:ascii="Arial" w:cs="Arial" w:eastAsia="Arial" w:hAnsi="Arial"/>
          <w:color w:val="111827"/>
          <w:sz w:val="20"/>
          <w:szCs w:val="20"/>
        </w:rPr>
        <w:t xml:space="preserve">Technical Architecture — six subsections with prose explanations</w:t>
      </w:r>
    </w:p>
    <w:p>
      <w:pPr>
        <w:pStyle w:val="ListParagraph"/>
        <w:numPr>
          <w:ilvl w:val="0"/>
          <w:numId w:val="2"/>
        </w:numPr>
        <w:spacing w:after="40" w:before="40"/>
      </w:pPr>
      <w:r>
        <w:rPr>
          <w:rFonts w:ascii="Arial" w:cs="Arial" w:eastAsia="Arial" w:hAnsi="Arial"/>
          <w:color w:val="111827"/>
          <w:sz w:val="20"/>
          <w:szCs w:val="20"/>
        </w:rPr>
        <w:t xml:space="preserve">Key Outcomes — five bullet outcomes</w:t>
      </w:r>
    </w:p>
    <w:p>
      <w:pPr>
        <w:pStyle w:val="ListParagraph"/>
        <w:numPr>
          <w:ilvl w:val="0"/>
          <w:numId w:val="2"/>
        </w:numPr>
        <w:spacing w:after="40" w:before="40"/>
      </w:pPr>
      <w:r>
        <w:rPr>
          <w:rFonts w:ascii="Arial" w:cs="Arial" w:eastAsia="Arial" w:hAnsi="Arial"/>
          <w:color w:val="111827"/>
          <w:sz w:val="20"/>
          <w:szCs w:val="20"/>
        </w:rPr>
        <w:t xml:space="preserve">Tools and Stack — logo strip + tag grid</w:t>
      </w:r>
    </w:p>
    <w:p>
      <w:pPr>
        <w:pStyle w:val="ListParagraph"/>
        <w:numPr>
          <w:ilvl w:val="0"/>
          <w:numId w:val="2"/>
        </w:numPr>
        <w:spacing w:after="40" w:before="40"/>
      </w:pPr>
      <w:r>
        <w:rPr>
          <w:rFonts w:ascii="Arial" w:cs="Arial" w:eastAsia="Arial" w:hAnsi="Arial"/>
          <w:color w:val="111827"/>
          <w:sz w:val="20"/>
          <w:szCs w:val="20"/>
        </w:rPr>
        <w:t xml:space="preserve">Back to Portfolio — navigation link returning to main portfolio page</w:t>
      </w:r>
    </w:p>
    <w:p>
      <w:pPr>
        <w:pBdr>
          <w:bottom w:val="single" w:color="E5E7EB" w:sz="2" w:space="1"/>
        </w:pBdr>
        <w:spacing w:after="200" w:before="200"/>
      </w:pPr>
      <w:r>
        <w:t xml:space="preserve"/>
      </w:r>
    </w:p>
    <w:p>
      <w:pPr>
        <w:pBdr>
          <w:bottom w:val="single" w:color="2563EB" w:sz="4" w:space="4"/>
        </w:pBdr>
        <w:spacing w:after="120" w:before="480"/>
      </w:pPr>
      <w:r>
        <w:rPr>
          <w:rFonts w:ascii="Arial" w:cs="Arial" w:eastAsia="Arial" w:hAnsi="Arial"/>
          <w:b/>
          <w:bCs/>
          <w:color w:val="2563EB"/>
          <w:sz w:val="28"/>
          <w:szCs w:val="28"/>
        </w:rPr>
        <w:t xml:space="preserve">10. Design Notes</w:t>
      </w:r>
    </w:p>
    <w:p>
      <w:pPr>
        <w:pStyle w:val="ListParagraph"/>
        <w:numPr>
          <w:ilvl w:val="0"/>
          <w:numId w:val="2"/>
        </w:numPr>
        <w:spacing w:after="40" w:before="40"/>
      </w:pPr>
      <w:r>
        <w:rPr>
          <w:rFonts w:ascii="Arial" w:cs="Arial" w:eastAsia="Arial" w:hAnsi="Arial"/>
          <w:color w:val="111827"/>
          <w:sz w:val="20"/>
          <w:szCs w:val="20"/>
        </w:rPr>
        <w:t xml:space="preserve">The page should use the same design language as the rest of the portfolio — same typography, spacing, and colour system.</w:t>
      </w:r>
    </w:p>
    <w:p>
      <w:pPr>
        <w:pStyle w:val="ListParagraph"/>
        <w:numPr>
          <w:ilvl w:val="0"/>
          <w:numId w:val="2"/>
        </w:numPr>
        <w:spacing w:after="40" w:before="40"/>
      </w:pPr>
      <w:r>
        <w:rPr>
          <w:rFonts w:ascii="Arial" w:cs="Arial" w:eastAsia="Arial" w:hAnsi="Arial"/>
          <w:color w:val="111827"/>
          <w:sz w:val="20"/>
          <w:szCs w:val="20"/>
        </w:rPr>
        <w:t xml:space="preserve">The pipeline diagram is the hero visual of the page. Give it generous vertical space and ensure it is responsive on mobile (nodes should stack or scale cleanly).</w:t>
      </w:r>
    </w:p>
    <w:p>
      <w:pPr>
        <w:pStyle w:val="ListParagraph"/>
        <w:numPr>
          <w:ilvl w:val="0"/>
          <w:numId w:val="2"/>
        </w:numPr>
        <w:spacing w:after="40" w:before="40"/>
      </w:pPr>
      <w:r>
        <w:rPr>
          <w:rFonts w:ascii="Arial" w:cs="Arial" w:eastAsia="Arial" w:hAnsi="Arial"/>
          <w:color w:val="111827"/>
          <w:sz w:val="20"/>
          <w:szCs w:val="20"/>
        </w:rPr>
        <w:t xml:space="preserve">The technical architecture section should feel like a structured editorial breakdown — use subheadings, short paragraphs, and occasional indented bullet points. Avoid making it feel like a spec sheet.</w:t>
      </w:r>
    </w:p>
    <w:p>
      <w:pPr>
        <w:pStyle w:val="ListParagraph"/>
        <w:numPr>
          <w:ilvl w:val="0"/>
          <w:numId w:val="2"/>
        </w:numPr>
        <w:spacing w:after="40" w:before="40"/>
      </w:pPr>
      <w:r>
        <w:rPr>
          <w:rFonts w:ascii="Arial" w:cs="Arial" w:eastAsia="Arial" w:hAnsi="Arial"/>
          <w:color w:val="111827"/>
          <w:sz w:val="20"/>
          <w:szCs w:val="20"/>
        </w:rPr>
        <w:t xml:space="preserve">The tone throughout should be professional but accessible — written for someone who understands technology but may not know n8n or automation pipelines specifically.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Naseeha Automation — Landing Page Prompt for Replit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2026-04-09T13:00:26.326Z</dcterms:created>
  <dcterms:modified xsi:type="dcterms:W3CDTF">2026-04-09T13:00:26.328Z</dcterms:modified>
</cp:coreProperties>
</file>

<file path=docProps/custom.xml><?xml version="1.0" encoding="utf-8"?>
<Properties xmlns="http://schemas.openxmlformats.org/officeDocument/2006/custom-properties" xmlns:vt="http://schemas.openxmlformats.org/officeDocument/2006/docPropsVTypes"/>
</file>