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CEE5" w14:textId="27D77016" w:rsidR="00934F7E" w:rsidRDefault="00E13A8B">
      <w:pPr>
        <w:rPr>
          <w:sz w:val="22"/>
          <w:szCs w:val="20"/>
        </w:rPr>
      </w:pPr>
      <w:r>
        <w:rPr>
          <w:sz w:val="22"/>
          <w:szCs w:val="20"/>
        </w:rPr>
        <w:t>BF528: Project 5</w:t>
      </w:r>
      <w:r>
        <w:rPr>
          <w:sz w:val="22"/>
          <w:szCs w:val="20"/>
        </w:rPr>
        <w:tab/>
      </w:r>
      <w:r>
        <w:rPr>
          <w:sz w:val="22"/>
          <w:szCs w:val="20"/>
        </w:rPr>
        <w:tab/>
      </w:r>
      <w:r>
        <w:rPr>
          <w:sz w:val="22"/>
          <w:szCs w:val="20"/>
        </w:rPr>
        <w:tab/>
      </w:r>
      <w:r>
        <w:rPr>
          <w:sz w:val="22"/>
          <w:szCs w:val="20"/>
        </w:rPr>
        <w:tab/>
      </w:r>
      <w:r>
        <w:rPr>
          <w:sz w:val="22"/>
          <w:szCs w:val="20"/>
        </w:rPr>
        <w:tab/>
        <w:t xml:space="preserve"> </w:t>
      </w:r>
      <w:r>
        <w:rPr>
          <w:sz w:val="22"/>
          <w:szCs w:val="20"/>
        </w:rPr>
        <w:tab/>
      </w:r>
      <w:r>
        <w:rPr>
          <w:sz w:val="22"/>
          <w:szCs w:val="20"/>
        </w:rPr>
        <w:tab/>
      </w:r>
      <w:r>
        <w:rPr>
          <w:sz w:val="22"/>
          <w:szCs w:val="20"/>
        </w:rPr>
        <w:tab/>
      </w:r>
      <w:r>
        <w:rPr>
          <w:sz w:val="22"/>
          <w:szCs w:val="20"/>
        </w:rPr>
        <w:tab/>
        <w:t>05/11/22</w:t>
      </w:r>
    </w:p>
    <w:p w14:paraId="0EF3CF9E" w14:textId="0B73573E" w:rsidR="00E13A8B" w:rsidRDefault="00E13A8B">
      <w:pPr>
        <w:rPr>
          <w:b/>
          <w:bCs/>
          <w:sz w:val="32"/>
          <w:szCs w:val="28"/>
        </w:rPr>
      </w:pPr>
      <w:r>
        <w:rPr>
          <w:b/>
          <w:bCs/>
          <w:sz w:val="32"/>
          <w:szCs w:val="28"/>
        </w:rPr>
        <w:t>Concordance of Microarray and RNA-Seq Differential Gene Expression</w:t>
      </w:r>
    </w:p>
    <w:p w14:paraId="62E692DA" w14:textId="77C88A05" w:rsidR="00E13A8B" w:rsidRDefault="0009286A">
      <w:r>
        <w:t>Aneeq Husain</w:t>
      </w:r>
    </w:p>
    <w:p w14:paraId="5113AE00" w14:textId="54D9CF8E" w:rsidR="00E13A8B" w:rsidRDefault="00E13A8B">
      <w:r>
        <w:t>Roles chosen: Project 3 Programmer and Biologist</w:t>
      </w:r>
    </w:p>
    <w:p w14:paraId="42FC6F53" w14:textId="2AA6F9F0" w:rsidR="00E13A8B" w:rsidRPr="00965065" w:rsidRDefault="00EB1DFA">
      <w:pPr>
        <w:rPr>
          <w:u w:val="single"/>
        </w:rPr>
      </w:pPr>
      <w:r w:rsidRPr="00965065">
        <w:rPr>
          <w:u w:val="single"/>
        </w:rPr>
        <w:t>Introduction:</w:t>
      </w:r>
    </w:p>
    <w:p w14:paraId="62CF4247" w14:textId="37B13CAC" w:rsidR="00EB1DFA" w:rsidRPr="00111D21" w:rsidRDefault="00EB1DFA" w:rsidP="0009286A">
      <w:pPr>
        <w:jc w:val="both"/>
      </w:pPr>
      <w:r>
        <w:tab/>
      </w:r>
      <w:r w:rsidR="00633AED">
        <w:t>In this study, I processed the RNA</w:t>
      </w:r>
      <w:r w:rsidR="00EB3434">
        <w:t>-</w:t>
      </w:r>
      <w:r w:rsidR="00633AED">
        <w:t>Seq</w:t>
      </w:r>
      <w:r w:rsidR="00EB3434">
        <w:t>uencing</w:t>
      </w:r>
      <w:r w:rsidR="00633AED">
        <w:t xml:space="preserve"> </w:t>
      </w:r>
      <w:r w:rsidR="0009286A">
        <w:t xml:space="preserve">(RNA-Seq) </w:t>
      </w:r>
      <w:r w:rsidR="00633AED">
        <w:t>data</w:t>
      </w:r>
      <w:r w:rsidR="00FB197E">
        <w:t>, performed differential expression analysis</w:t>
      </w:r>
      <w:r w:rsidR="00633AED">
        <w:t xml:space="preserve"> and further interpreted the results using functional enrichment</w:t>
      </w:r>
      <w:r w:rsidR="00EB3434">
        <w:t xml:space="preserve"> analysis</w:t>
      </w:r>
      <w:r w:rsidR="00633AED">
        <w:t xml:space="preserve"> and heatmaps.</w:t>
      </w:r>
      <w:r w:rsidR="00EB3434">
        <w:t xml:space="preserve"> Wang </w:t>
      </w:r>
      <w:r w:rsidR="00EB3434">
        <w:rPr>
          <w:i/>
          <w:iCs/>
        </w:rPr>
        <w:t>et al.</w:t>
      </w:r>
      <w:r w:rsidR="00EB3434">
        <w:t>’s</w:t>
      </w:r>
      <w:r w:rsidR="008404BD">
        <w:t xml:space="preserve"> [1]</w:t>
      </w:r>
      <w:r w:rsidR="00EB3434">
        <w:t xml:space="preserve"> study </w:t>
      </w:r>
      <w:r w:rsidR="0009286A">
        <w:t>was a large-scale study that attempted to study the concordance between microarray and RNA-Seq results</w:t>
      </w:r>
      <w:r w:rsidR="00E635FB">
        <w:t>.</w:t>
      </w:r>
      <w:r w:rsidR="0009286A">
        <w:t xml:space="preserve"> </w:t>
      </w:r>
      <w:r w:rsidR="000E56A2">
        <w:t>Their study is significant in that microarray was an industry standard that is being phased out in favour of RNA-Seq and hence it is necessary to understand how comparable the two methods are.</w:t>
      </w:r>
      <w:r w:rsidR="00E635FB">
        <w:t xml:space="preserve"> </w:t>
      </w:r>
      <w:r w:rsidR="00E635FB">
        <w:t xml:space="preserve">An essential part of </w:t>
      </w:r>
      <w:r w:rsidR="00E635FB">
        <w:t>their study relies on</w:t>
      </w:r>
      <w:r w:rsidR="00E635FB">
        <w:t xml:space="preserve"> processing the RNA-Seq data </w:t>
      </w:r>
      <w:r w:rsidR="00E635FB">
        <w:t xml:space="preserve">appropriately </w:t>
      </w:r>
      <w:r w:rsidR="00E635FB">
        <w:t>so that the interpretations made are accurate and scientifically valid.</w:t>
      </w:r>
    </w:p>
    <w:p w14:paraId="19CC679A" w14:textId="14AEEF4D" w:rsidR="00EB1DFA" w:rsidRPr="00965065" w:rsidRDefault="00EB1DFA">
      <w:pPr>
        <w:rPr>
          <w:u w:val="single"/>
        </w:rPr>
      </w:pPr>
      <w:r w:rsidRPr="00965065">
        <w:rPr>
          <w:u w:val="single"/>
        </w:rPr>
        <w:t>Methods:</w:t>
      </w:r>
    </w:p>
    <w:p w14:paraId="5AAF015A" w14:textId="5FDA5591" w:rsidR="002B4E3D" w:rsidRDefault="000E56A2" w:rsidP="00295057">
      <w:pPr>
        <w:jc w:val="both"/>
      </w:pPr>
      <w:r>
        <w:tab/>
      </w:r>
      <w:r w:rsidR="008404BD">
        <w:t>RNA-Seq processing was performed by computing the counts and performing differential expression analysis. Counting was done using the featureCounts [2] package (</w:t>
      </w:r>
      <w:r w:rsidR="00432FB4">
        <w:t>v1.6.2)</w:t>
      </w:r>
      <w:r w:rsidR="00DA11F5">
        <w:t xml:space="preserve"> on 9 sample</w:t>
      </w:r>
      <w:r w:rsidR="00AF0179">
        <w:t xml:space="preserve"> BAM files</w:t>
      </w:r>
      <w:r w:rsidR="008404BD">
        <w:t>. MULTIQC (v</w:t>
      </w:r>
      <w:r w:rsidR="00432FB4">
        <w:t>1.10.1</w:t>
      </w:r>
      <w:r w:rsidR="008404BD">
        <w:t>)</w:t>
      </w:r>
      <w:r w:rsidR="00E4567E">
        <w:t xml:space="preserve"> [3]</w:t>
      </w:r>
      <w:r w:rsidR="008404BD">
        <w:t xml:space="preserve"> was also run to check the quality of the resulting counts. Subsequently, the counts matri</w:t>
      </w:r>
      <w:r w:rsidR="00AF0179">
        <w:t>ces</w:t>
      </w:r>
      <w:r w:rsidR="008404BD">
        <w:t xml:space="preserve"> w</w:t>
      </w:r>
      <w:r w:rsidR="00AF0179">
        <w:t>ere</w:t>
      </w:r>
      <w:r w:rsidR="008404BD">
        <w:t xml:space="preserve"> imported to R (v</w:t>
      </w:r>
      <w:r w:rsidR="00432FB4">
        <w:t>3.14</w:t>
      </w:r>
      <w:r w:rsidR="008404BD">
        <w:t>)</w:t>
      </w:r>
      <w:r w:rsidR="00E4567E">
        <w:t xml:space="preserve"> [4]</w:t>
      </w:r>
      <w:r w:rsidR="008404BD">
        <w:t xml:space="preserve"> for normalization and differential expression. Both steps were performed using </w:t>
      </w:r>
      <w:r w:rsidR="00E4567E">
        <w:t>the DESeq2 package (v</w:t>
      </w:r>
      <w:r w:rsidR="00432FB4">
        <w:t>1.34.0</w:t>
      </w:r>
      <w:r w:rsidR="00E4567E">
        <w:t>) [5].</w:t>
      </w:r>
      <w:r w:rsidR="00AF0179">
        <w:t xml:space="preserve"> Here</w:t>
      </w:r>
      <w:r w:rsidR="000E6A24">
        <w:t>,</w:t>
      </w:r>
      <w:r w:rsidR="00AF0179">
        <w:t xml:space="preserve"> the samples were split into three sub-groups</w:t>
      </w:r>
      <w:r w:rsidR="00E4567E">
        <w:t xml:space="preserve"> </w:t>
      </w:r>
      <w:r w:rsidR="00AF0179">
        <w:t xml:space="preserve">based on the mode of action. </w:t>
      </w:r>
      <w:r w:rsidR="002D56F6">
        <w:t xml:space="preserve">The subgroups are listed below in Table 1. </w:t>
      </w:r>
      <w:r w:rsidR="00295057">
        <w:t>The tidyverse</w:t>
      </w:r>
      <w:r w:rsidR="00432FB4">
        <w:t xml:space="preserve"> (v1.31)</w:t>
      </w:r>
      <w:r w:rsidR="00295057">
        <w:t xml:space="preserve"> [6] was used for data wrangling</w:t>
      </w:r>
      <w:r w:rsidR="00C03F77">
        <w:t xml:space="preserve"> and p</w:t>
      </w:r>
      <w:r w:rsidR="00295057">
        <w:t>lots were produced using the ggplot2 package</w:t>
      </w:r>
      <w:r w:rsidR="00432FB4">
        <w:t xml:space="preserve"> (v3.3.5)</w:t>
      </w:r>
      <w:r w:rsidR="00295057">
        <w:t xml:space="preserve"> [7].</w:t>
      </w:r>
    </w:p>
    <w:p w14:paraId="161F219C" w14:textId="4B7A568C" w:rsidR="00EB1DFA" w:rsidRDefault="00295057" w:rsidP="002B4E3D">
      <w:pPr>
        <w:ind w:firstLine="720"/>
        <w:jc w:val="both"/>
      </w:pPr>
      <w:r>
        <w:t>For biological interpretation, the differentially expressed</w:t>
      </w:r>
      <w:r w:rsidR="00DA11F5">
        <w:t xml:space="preserve"> genes obtained from the previous steps were </w:t>
      </w:r>
      <w:r w:rsidR="00C45594">
        <w:t>supplied to</w:t>
      </w:r>
      <w:r w:rsidR="00DA11F5">
        <w:t xml:space="preserve"> DAVID [8] for functional enrichment analysis. </w:t>
      </w:r>
      <w:r w:rsidR="002B4E3D">
        <w:t>DAVID was run on each subgroup’s DE genes with the identifier set to GENBANK_ACCESSION.</w:t>
      </w:r>
      <w:r w:rsidR="00FA358B">
        <w:t xml:space="preserve"> The default annotation categories were selected for clustering.</w:t>
      </w:r>
      <w:r w:rsidR="001C66EC">
        <w:t xml:space="preserve"> Since DAVID allows clustering only up to 3000 genes and the CAR/PXR subgroup had 3499, the genes with the highest p-values were omitted to perform functional annotation.</w:t>
      </w:r>
      <w:r w:rsidR="002B4E3D">
        <w:t xml:space="preserve"> </w:t>
      </w:r>
      <w:r w:rsidR="00DA11F5">
        <w:t>The</w:t>
      </w:r>
      <w:r>
        <w:t xml:space="preserve"> heatmaps were made with the help of pheatmap</w:t>
      </w:r>
      <w:r w:rsidR="00432FB4">
        <w:t xml:space="preserve"> (v1.0.12)</w:t>
      </w:r>
      <w:r>
        <w:t xml:space="preserve"> [</w:t>
      </w:r>
      <w:r w:rsidR="00AF0179">
        <w:t>9</w:t>
      </w:r>
      <w:r>
        <w:t>]</w:t>
      </w:r>
      <w:r w:rsidR="00DA11F5">
        <w:t xml:space="preserve"> in R</w:t>
      </w:r>
      <w:r w:rsidR="00FA358B">
        <w:t xml:space="preserve"> using the normalized counts </w:t>
      </w:r>
      <w:r w:rsidR="00C03F77">
        <w:t>as produced by DESeq2</w:t>
      </w:r>
      <w:r w:rsidR="00FA358B">
        <w:t xml:space="preserve">. </w:t>
      </w:r>
      <w:r>
        <w:t xml:space="preserve"> </w:t>
      </w:r>
    </w:p>
    <w:tbl>
      <w:tblPr>
        <w:tblStyle w:val="TableGrid"/>
        <w:tblW w:w="0" w:type="auto"/>
        <w:tblInd w:w="1271" w:type="dxa"/>
        <w:tblLook w:val="04A0" w:firstRow="1" w:lastRow="0" w:firstColumn="1" w:lastColumn="0" w:noHBand="0" w:noVBand="1"/>
      </w:tblPr>
      <w:tblGrid>
        <w:gridCol w:w="3237"/>
        <w:gridCol w:w="3000"/>
      </w:tblGrid>
      <w:tr w:rsidR="002D56F6" w14:paraId="2BF6B0CB" w14:textId="77777777" w:rsidTr="00C03F77">
        <w:tc>
          <w:tcPr>
            <w:tcW w:w="3237" w:type="dxa"/>
          </w:tcPr>
          <w:p w14:paraId="6C64FC1D" w14:textId="58D9C156" w:rsidR="002D56F6" w:rsidRPr="002D56F6" w:rsidRDefault="002D56F6" w:rsidP="002D56F6">
            <w:pPr>
              <w:jc w:val="center"/>
              <w:rPr>
                <w:b/>
                <w:bCs/>
              </w:rPr>
            </w:pPr>
            <w:r>
              <w:rPr>
                <w:b/>
                <w:bCs/>
              </w:rPr>
              <w:t>Sample Name</w:t>
            </w:r>
          </w:p>
        </w:tc>
        <w:tc>
          <w:tcPr>
            <w:tcW w:w="3000" w:type="dxa"/>
          </w:tcPr>
          <w:p w14:paraId="7928C411" w14:textId="41194280" w:rsidR="002D56F6" w:rsidRPr="002D56F6" w:rsidRDefault="002D56F6" w:rsidP="002D56F6">
            <w:pPr>
              <w:jc w:val="center"/>
              <w:rPr>
                <w:b/>
                <w:bCs/>
              </w:rPr>
            </w:pPr>
            <w:r>
              <w:rPr>
                <w:b/>
                <w:bCs/>
              </w:rPr>
              <w:t>Method of action</w:t>
            </w:r>
          </w:p>
        </w:tc>
      </w:tr>
      <w:tr w:rsidR="002D56F6" w14:paraId="5C8BC5A2" w14:textId="77777777" w:rsidTr="00C03F77">
        <w:tc>
          <w:tcPr>
            <w:tcW w:w="3237" w:type="dxa"/>
          </w:tcPr>
          <w:p w14:paraId="54830536" w14:textId="4409CEC0" w:rsidR="002D56F6" w:rsidRDefault="002D56F6" w:rsidP="002D56F6">
            <w:pPr>
              <w:jc w:val="center"/>
            </w:pPr>
            <w:r>
              <w:t>SRR1177981</w:t>
            </w:r>
          </w:p>
        </w:tc>
        <w:tc>
          <w:tcPr>
            <w:tcW w:w="3000" w:type="dxa"/>
          </w:tcPr>
          <w:p w14:paraId="416BB857" w14:textId="78909C2D" w:rsidR="002D56F6" w:rsidRDefault="002D56F6" w:rsidP="002D56F6">
            <w:pPr>
              <w:jc w:val="center"/>
            </w:pPr>
            <w:r>
              <w:t>DNA Damage</w:t>
            </w:r>
          </w:p>
        </w:tc>
      </w:tr>
      <w:tr w:rsidR="002D56F6" w14:paraId="25B76DAD" w14:textId="77777777" w:rsidTr="00C03F77">
        <w:tc>
          <w:tcPr>
            <w:tcW w:w="3237" w:type="dxa"/>
          </w:tcPr>
          <w:p w14:paraId="23931096" w14:textId="6C2FA80C" w:rsidR="002D56F6" w:rsidRDefault="002D56F6" w:rsidP="002D56F6">
            <w:pPr>
              <w:jc w:val="center"/>
            </w:pPr>
            <w:r>
              <w:t>SRR1177982</w:t>
            </w:r>
          </w:p>
        </w:tc>
        <w:tc>
          <w:tcPr>
            <w:tcW w:w="3000" w:type="dxa"/>
          </w:tcPr>
          <w:p w14:paraId="5BF01DE3" w14:textId="3412EF9C" w:rsidR="002D56F6" w:rsidRDefault="002D56F6" w:rsidP="002D56F6">
            <w:pPr>
              <w:jc w:val="center"/>
            </w:pPr>
            <w:r>
              <w:t>DNA Damage</w:t>
            </w:r>
          </w:p>
        </w:tc>
      </w:tr>
      <w:tr w:rsidR="002D56F6" w14:paraId="4117D15C" w14:textId="77777777" w:rsidTr="00C03F77">
        <w:tc>
          <w:tcPr>
            <w:tcW w:w="3237" w:type="dxa"/>
          </w:tcPr>
          <w:p w14:paraId="08F74205" w14:textId="2A2FEC09" w:rsidR="002D56F6" w:rsidRDefault="002D56F6" w:rsidP="002D56F6">
            <w:pPr>
              <w:jc w:val="center"/>
            </w:pPr>
            <w:r>
              <w:t>SRR117798</w:t>
            </w:r>
            <w:r>
              <w:t>3</w:t>
            </w:r>
          </w:p>
        </w:tc>
        <w:tc>
          <w:tcPr>
            <w:tcW w:w="3000" w:type="dxa"/>
          </w:tcPr>
          <w:p w14:paraId="10AC67D3" w14:textId="557F0784" w:rsidR="002D56F6" w:rsidRDefault="002D56F6" w:rsidP="002D56F6">
            <w:pPr>
              <w:jc w:val="center"/>
            </w:pPr>
            <w:r>
              <w:t>DNA Damage</w:t>
            </w:r>
          </w:p>
        </w:tc>
      </w:tr>
      <w:tr w:rsidR="002D56F6" w14:paraId="10154BFF" w14:textId="77777777" w:rsidTr="00C03F77">
        <w:tc>
          <w:tcPr>
            <w:tcW w:w="3237" w:type="dxa"/>
          </w:tcPr>
          <w:p w14:paraId="49C789BE" w14:textId="365BD4F6" w:rsidR="002D56F6" w:rsidRDefault="002D56F6" w:rsidP="002D56F6">
            <w:pPr>
              <w:jc w:val="center"/>
            </w:pPr>
            <w:r>
              <w:t>SRR1178008</w:t>
            </w:r>
          </w:p>
        </w:tc>
        <w:tc>
          <w:tcPr>
            <w:tcW w:w="3000" w:type="dxa"/>
          </w:tcPr>
          <w:p w14:paraId="06FC1744" w14:textId="0356C6F1" w:rsidR="002D56F6" w:rsidRDefault="002D56F6" w:rsidP="002D56F6">
            <w:pPr>
              <w:jc w:val="center"/>
            </w:pPr>
            <w:r>
              <w:t>AhR</w:t>
            </w:r>
          </w:p>
        </w:tc>
      </w:tr>
      <w:tr w:rsidR="002D56F6" w14:paraId="2ED6FA2C" w14:textId="77777777" w:rsidTr="00C03F77">
        <w:tc>
          <w:tcPr>
            <w:tcW w:w="3237" w:type="dxa"/>
          </w:tcPr>
          <w:p w14:paraId="1C112345" w14:textId="144F140B" w:rsidR="002D56F6" w:rsidRDefault="002D56F6" w:rsidP="002D56F6">
            <w:pPr>
              <w:jc w:val="center"/>
            </w:pPr>
            <w:r>
              <w:t>SRR117800</w:t>
            </w:r>
            <w:r>
              <w:t>9</w:t>
            </w:r>
          </w:p>
        </w:tc>
        <w:tc>
          <w:tcPr>
            <w:tcW w:w="3000" w:type="dxa"/>
          </w:tcPr>
          <w:p w14:paraId="5882D94B" w14:textId="32C8BDAF" w:rsidR="002D56F6" w:rsidRDefault="002D56F6" w:rsidP="002D56F6">
            <w:pPr>
              <w:jc w:val="center"/>
            </w:pPr>
            <w:r>
              <w:t>AhR</w:t>
            </w:r>
          </w:p>
        </w:tc>
      </w:tr>
      <w:tr w:rsidR="002D56F6" w14:paraId="32FDEE27" w14:textId="77777777" w:rsidTr="00C03F77">
        <w:tc>
          <w:tcPr>
            <w:tcW w:w="3237" w:type="dxa"/>
          </w:tcPr>
          <w:p w14:paraId="0848415B" w14:textId="43049673" w:rsidR="002D56F6" w:rsidRDefault="002D56F6" w:rsidP="002D56F6">
            <w:pPr>
              <w:jc w:val="center"/>
            </w:pPr>
            <w:r>
              <w:t>SRR11780</w:t>
            </w:r>
            <w:r>
              <w:t>10</w:t>
            </w:r>
          </w:p>
        </w:tc>
        <w:tc>
          <w:tcPr>
            <w:tcW w:w="3000" w:type="dxa"/>
          </w:tcPr>
          <w:p w14:paraId="56FFEB97" w14:textId="5A21AC4D" w:rsidR="002D56F6" w:rsidRDefault="002D56F6" w:rsidP="002D56F6">
            <w:pPr>
              <w:jc w:val="center"/>
            </w:pPr>
            <w:r>
              <w:t>AhR</w:t>
            </w:r>
          </w:p>
        </w:tc>
      </w:tr>
      <w:tr w:rsidR="002D56F6" w14:paraId="714D136E" w14:textId="77777777" w:rsidTr="00C03F77">
        <w:tc>
          <w:tcPr>
            <w:tcW w:w="3237" w:type="dxa"/>
          </w:tcPr>
          <w:p w14:paraId="52A61007" w14:textId="0B5AFE80" w:rsidR="002D56F6" w:rsidRDefault="002D56F6" w:rsidP="002D56F6">
            <w:pPr>
              <w:jc w:val="center"/>
            </w:pPr>
            <w:r>
              <w:t>SRR11780</w:t>
            </w:r>
            <w:r>
              <w:t>14</w:t>
            </w:r>
          </w:p>
        </w:tc>
        <w:tc>
          <w:tcPr>
            <w:tcW w:w="3000" w:type="dxa"/>
          </w:tcPr>
          <w:p w14:paraId="47C1CFC8" w14:textId="4CAF1DA2" w:rsidR="002D56F6" w:rsidRDefault="002D56F6" w:rsidP="002D56F6">
            <w:pPr>
              <w:jc w:val="center"/>
            </w:pPr>
            <w:r>
              <w:t>CAR/PXR</w:t>
            </w:r>
          </w:p>
        </w:tc>
      </w:tr>
      <w:tr w:rsidR="002D56F6" w14:paraId="1A18D4CC" w14:textId="77777777" w:rsidTr="00C03F77">
        <w:tc>
          <w:tcPr>
            <w:tcW w:w="3237" w:type="dxa"/>
          </w:tcPr>
          <w:p w14:paraId="34EF52C1" w14:textId="4C1D6B23" w:rsidR="002D56F6" w:rsidRDefault="002D56F6" w:rsidP="002D56F6">
            <w:pPr>
              <w:jc w:val="center"/>
            </w:pPr>
            <w:r>
              <w:t>SRR11780</w:t>
            </w:r>
            <w:r>
              <w:t>21</w:t>
            </w:r>
          </w:p>
        </w:tc>
        <w:tc>
          <w:tcPr>
            <w:tcW w:w="3000" w:type="dxa"/>
          </w:tcPr>
          <w:p w14:paraId="5C469040" w14:textId="13227012" w:rsidR="002D56F6" w:rsidRDefault="002D56F6" w:rsidP="002D56F6">
            <w:pPr>
              <w:jc w:val="center"/>
            </w:pPr>
            <w:r>
              <w:t>CAR/PXR</w:t>
            </w:r>
          </w:p>
        </w:tc>
      </w:tr>
      <w:tr w:rsidR="002D56F6" w14:paraId="4CDE5E60" w14:textId="77777777" w:rsidTr="00C03F77">
        <w:tc>
          <w:tcPr>
            <w:tcW w:w="3237" w:type="dxa"/>
          </w:tcPr>
          <w:p w14:paraId="45A85F04" w14:textId="35718F20" w:rsidR="002D56F6" w:rsidRDefault="002D56F6" w:rsidP="002D56F6">
            <w:pPr>
              <w:jc w:val="center"/>
            </w:pPr>
            <w:r>
              <w:t>SRR11780</w:t>
            </w:r>
            <w:r>
              <w:t>47</w:t>
            </w:r>
          </w:p>
        </w:tc>
        <w:tc>
          <w:tcPr>
            <w:tcW w:w="3000" w:type="dxa"/>
          </w:tcPr>
          <w:p w14:paraId="6751EC2D" w14:textId="2B322155" w:rsidR="002D56F6" w:rsidRDefault="002D56F6" w:rsidP="002D56F6">
            <w:pPr>
              <w:jc w:val="center"/>
            </w:pPr>
            <w:r>
              <w:t>CAR/PXR</w:t>
            </w:r>
          </w:p>
        </w:tc>
      </w:tr>
    </w:tbl>
    <w:p w14:paraId="041E46BE" w14:textId="7C6D8D18" w:rsidR="0096665A" w:rsidRPr="002D56F6" w:rsidRDefault="002D56F6" w:rsidP="00295057">
      <w:pPr>
        <w:jc w:val="both"/>
        <w:rPr>
          <w:sz w:val="22"/>
          <w:szCs w:val="20"/>
        </w:rPr>
      </w:pPr>
      <w:r>
        <w:rPr>
          <w:sz w:val="22"/>
          <w:szCs w:val="20"/>
        </w:rPr>
        <w:t xml:space="preserve">Table 1: </w:t>
      </w:r>
      <w:r w:rsidR="002C70D9">
        <w:rPr>
          <w:sz w:val="22"/>
          <w:szCs w:val="20"/>
        </w:rPr>
        <w:t xml:space="preserve">The distribution of samples and their associated subgroups. </w:t>
      </w:r>
    </w:p>
    <w:p w14:paraId="4D271721" w14:textId="000E7A9D" w:rsidR="00EB1DFA" w:rsidRPr="00965065" w:rsidRDefault="00EB1DFA">
      <w:pPr>
        <w:rPr>
          <w:u w:val="single"/>
        </w:rPr>
      </w:pPr>
      <w:r w:rsidRPr="00965065">
        <w:rPr>
          <w:u w:val="single"/>
        </w:rPr>
        <w:lastRenderedPageBreak/>
        <w:t>Results:</w:t>
      </w:r>
    </w:p>
    <w:p w14:paraId="79221D18" w14:textId="15668205" w:rsidR="00E36CC9" w:rsidRDefault="00C45594" w:rsidP="006778B3">
      <w:pPr>
        <w:ind w:firstLine="720"/>
        <w:jc w:val="both"/>
      </w:pPr>
      <w:r>
        <w:t>The featureCounts package was used to produce counts matrix of the genes</w:t>
      </w:r>
      <w:r w:rsidR="00CB1929">
        <w:t xml:space="preserve"> for all samples</w:t>
      </w:r>
      <w:r>
        <w:t>. The resulting counts matrices appeared to be of good quality</w:t>
      </w:r>
      <w:r w:rsidR="00E36CC9">
        <w:t xml:space="preserve"> with high assignments (55% at the lowest) across all samples (Fig. 1).</w:t>
      </w:r>
      <w:r w:rsidR="002C70D9">
        <w:t xml:space="preserve"> </w:t>
      </w:r>
      <w:r w:rsidR="002C70D9">
        <w:t>To further understand the quality, the distributions of the counts were plotted in the form of a box plot (Fig. 2). The distribution of counts is fairly consistent across the samples.</w:t>
      </w:r>
    </w:p>
    <w:p w14:paraId="468286D1" w14:textId="6FAE3049" w:rsidR="00EB1DFA" w:rsidRDefault="00E36CC9" w:rsidP="00E36CC9">
      <w:pPr>
        <w:jc w:val="center"/>
      </w:pPr>
      <w:r>
        <w:rPr>
          <w:noProof/>
        </w:rPr>
        <w:drawing>
          <wp:inline distT="0" distB="0" distL="0" distR="0" wp14:anchorId="6E050169" wp14:editId="37FAB908">
            <wp:extent cx="3365647" cy="2242268"/>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8046" cy="2270515"/>
                    </a:xfrm>
                    <a:prstGeom prst="rect">
                      <a:avLst/>
                    </a:prstGeom>
                    <a:noFill/>
                    <a:ln>
                      <a:noFill/>
                    </a:ln>
                  </pic:spPr>
                </pic:pic>
              </a:graphicData>
            </a:graphic>
          </wp:inline>
        </w:drawing>
      </w:r>
    </w:p>
    <w:p w14:paraId="087F4920" w14:textId="3396BCA8" w:rsidR="00E36CC9" w:rsidRDefault="00E36CC9" w:rsidP="00E36CC9">
      <w:pPr>
        <w:rPr>
          <w:sz w:val="22"/>
          <w:szCs w:val="20"/>
        </w:rPr>
      </w:pPr>
      <w:r>
        <w:rPr>
          <w:sz w:val="22"/>
          <w:szCs w:val="20"/>
        </w:rPr>
        <w:t>Fig</w:t>
      </w:r>
      <w:r w:rsidR="002D56F6">
        <w:rPr>
          <w:sz w:val="22"/>
          <w:szCs w:val="20"/>
        </w:rPr>
        <w:t xml:space="preserve">ure </w:t>
      </w:r>
      <w:r>
        <w:rPr>
          <w:sz w:val="22"/>
          <w:szCs w:val="20"/>
        </w:rPr>
        <w:t xml:space="preserve">1: Assignments across the nine samples in percentage. </w:t>
      </w:r>
    </w:p>
    <w:p w14:paraId="586080CE" w14:textId="2FB87E94" w:rsidR="002F2D14" w:rsidRDefault="002F2D14" w:rsidP="00FA5684">
      <w:pPr>
        <w:jc w:val="center"/>
      </w:pPr>
      <w:r>
        <w:rPr>
          <w:noProof/>
        </w:rPr>
        <w:drawing>
          <wp:inline distT="0" distB="0" distL="0" distR="0" wp14:anchorId="4FE22EC7" wp14:editId="5FE52376">
            <wp:extent cx="2630159" cy="2918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8383" cy="2938349"/>
                    </a:xfrm>
                    <a:prstGeom prst="rect">
                      <a:avLst/>
                    </a:prstGeom>
                    <a:noFill/>
                    <a:ln>
                      <a:noFill/>
                    </a:ln>
                  </pic:spPr>
                </pic:pic>
              </a:graphicData>
            </a:graphic>
          </wp:inline>
        </w:drawing>
      </w:r>
    </w:p>
    <w:p w14:paraId="53DCC476" w14:textId="3F900F78" w:rsidR="00FA5684" w:rsidRDefault="00FA5684" w:rsidP="00FA5684">
      <w:pPr>
        <w:rPr>
          <w:sz w:val="22"/>
          <w:szCs w:val="20"/>
        </w:rPr>
      </w:pPr>
      <w:r>
        <w:rPr>
          <w:sz w:val="22"/>
          <w:szCs w:val="20"/>
        </w:rPr>
        <w:t>Fig</w:t>
      </w:r>
      <w:r w:rsidR="002D56F6">
        <w:rPr>
          <w:sz w:val="22"/>
          <w:szCs w:val="20"/>
        </w:rPr>
        <w:t>ure</w:t>
      </w:r>
      <w:r>
        <w:rPr>
          <w:sz w:val="22"/>
          <w:szCs w:val="20"/>
        </w:rPr>
        <w:t xml:space="preserve"> 2: </w:t>
      </w:r>
      <w:r w:rsidR="00A61D1C">
        <w:rPr>
          <w:sz w:val="22"/>
          <w:szCs w:val="20"/>
        </w:rPr>
        <w:t>Boxplot showing d</w:t>
      </w:r>
      <w:r>
        <w:rPr>
          <w:sz w:val="22"/>
          <w:szCs w:val="20"/>
        </w:rPr>
        <w:t xml:space="preserve">istribution of counts of the nine samples. Y-axis is log10 scaled. </w:t>
      </w:r>
    </w:p>
    <w:p w14:paraId="293CE3DE" w14:textId="1FE49993" w:rsidR="007950A4" w:rsidRDefault="007950A4" w:rsidP="006778B3">
      <w:pPr>
        <w:ind w:firstLine="720"/>
        <w:jc w:val="both"/>
      </w:pPr>
      <w:r>
        <w:t>After normalization and differential expression analysis was performed on the</w:t>
      </w:r>
      <w:r w:rsidR="00CB1929">
        <w:t xml:space="preserve"> counts</w:t>
      </w:r>
      <w:r w:rsidR="002D56F6">
        <w:t xml:space="preserve">, the results were </w:t>
      </w:r>
      <w:r w:rsidR="002C70D9">
        <w:t>filtered to contain only significant genes (Adjusted p-value &lt; 0.05)</w:t>
      </w:r>
      <w:r w:rsidR="002D56F6">
        <w:t>.</w:t>
      </w:r>
      <w:r w:rsidR="002C70D9">
        <w:t xml:space="preserve"> This produced results that varied largely by subgroups.</w:t>
      </w:r>
      <w:r w:rsidR="002D56F6">
        <w:t xml:space="preserve"> It was observed that the </w:t>
      </w:r>
      <w:r w:rsidR="002C70D9">
        <w:t>DNA damage subgroup contained the least number of significant genes with only 91 crossing the threshold. The AhR subgroup contained 1389 genes while the CAR/PXR subgroup was the largest with 3499 significant genes.</w:t>
      </w:r>
      <w:r w:rsidR="00EC408B">
        <w:t xml:space="preserve"> The top</w:t>
      </w:r>
      <w:r w:rsidR="00CB1929">
        <w:t xml:space="preserve"> ten</w:t>
      </w:r>
      <w:r w:rsidR="00EC408B">
        <w:t xml:space="preserve"> differentially expressed genes are summarised below in tables 2 to 4</w:t>
      </w:r>
      <w:r w:rsidR="00CB1929">
        <w:t xml:space="preserve"> for each subgroup</w:t>
      </w:r>
      <w:r w:rsidR="00EC408B">
        <w:t>.</w:t>
      </w:r>
    </w:p>
    <w:tbl>
      <w:tblPr>
        <w:tblStyle w:val="TableGrid"/>
        <w:tblW w:w="0" w:type="auto"/>
        <w:tblInd w:w="279" w:type="dxa"/>
        <w:tblLook w:val="04A0" w:firstRow="1" w:lastRow="0" w:firstColumn="1" w:lastColumn="0" w:noHBand="0" w:noVBand="1"/>
      </w:tblPr>
      <w:tblGrid>
        <w:gridCol w:w="2747"/>
        <w:gridCol w:w="2447"/>
        <w:gridCol w:w="2526"/>
      </w:tblGrid>
      <w:tr w:rsidR="00526B91" w14:paraId="145B0B99" w14:textId="77777777" w:rsidTr="00CB1929">
        <w:trPr>
          <w:trHeight w:val="281"/>
        </w:trPr>
        <w:tc>
          <w:tcPr>
            <w:tcW w:w="2747" w:type="dxa"/>
          </w:tcPr>
          <w:p w14:paraId="0E081AB9" w14:textId="77777777" w:rsidR="00526B91" w:rsidRPr="0085503E" w:rsidRDefault="00526B91" w:rsidP="004D17B6">
            <w:pPr>
              <w:jc w:val="center"/>
              <w:rPr>
                <w:b/>
                <w:bCs/>
              </w:rPr>
            </w:pPr>
            <w:r>
              <w:rPr>
                <w:b/>
                <w:bCs/>
              </w:rPr>
              <w:lastRenderedPageBreak/>
              <w:t>Gene</w:t>
            </w:r>
          </w:p>
        </w:tc>
        <w:tc>
          <w:tcPr>
            <w:tcW w:w="2447" w:type="dxa"/>
          </w:tcPr>
          <w:p w14:paraId="67F5EC2B" w14:textId="77777777" w:rsidR="00526B91" w:rsidRPr="0085503E" w:rsidRDefault="00526B91" w:rsidP="004D17B6">
            <w:pPr>
              <w:jc w:val="center"/>
              <w:rPr>
                <w:b/>
                <w:bCs/>
              </w:rPr>
            </w:pPr>
            <w:r>
              <w:rPr>
                <w:b/>
                <w:bCs/>
              </w:rPr>
              <w:t>Adjust P-value</w:t>
            </w:r>
          </w:p>
        </w:tc>
        <w:tc>
          <w:tcPr>
            <w:tcW w:w="2526" w:type="dxa"/>
          </w:tcPr>
          <w:p w14:paraId="607219F7" w14:textId="77777777" w:rsidR="00526B91" w:rsidRDefault="00526B91" w:rsidP="004D17B6">
            <w:pPr>
              <w:jc w:val="center"/>
              <w:rPr>
                <w:b/>
                <w:bCs/>
              </w:rPr>
            </w:pPr>
            <w:r>
              <w:rPr>
                <w:b/>
                <w:bCs/>
              </w:rPr>
              <w:t>Log2 Fold Change</w:t>
            </w:r>
          </w:p>
        </w:tc>
      </w:tr>
      <w:tr w:rsidR="00526B91" w14:paraId="47461323" w14:textId="77777777" w:rsidTr="00CB1929">
        <w:trPr>
          <w:trHeight w:val="281"/>
        </w:trPr>
        <w:tc>
          <w:tcPr>
            <w:tcW w:w="2747" w:type="dxa"/>
          </w:tcPr>
          <w:p w14:paraId="03D8B185" w14:textId="1533E588" w:rsidR="00526B91" w:rsidRDefault="00EB0CBD" w:rsidP="004D17B6">
            <w:pPr>
              <w:jc w:val="center"/>
            </w:pPr>
            <w:r w:rsidRPr="00EB0CBD">
              <w:t>NM_033234</w:t>
            </w:r>
          </w:p>
        </w:tc>
        <w:tc>
          <w:tcPr>
            <w:tcW w:w="2447" w:type="dxa"/>
          </w:tcPr>
          <w:p w14:paraId="2B1EF2FD" w14:textId="53980324" w:rsidR="00526B91" w:rsidRPr="00EB0CBD" w:rsidRDefault="00EB0CBD" w:rsidP="004D17B6">
            <w:pPr>
              <w:jc w:val="center"/>
              <w:rPr>
                <w:vertAlign w:val="superscript"/>
              </w:rPr>
            </w:pPr>
            <w:r w:rsidRPr="00EB0CBD">
              <w:t>8.14 x 10</w:t>
            </w:r>
            <w:r>
              <w:rPr>
                <w:vertAlign w:val="superscript"/>
              </w:rPr>
              <w:t>-58</w:t>
            </w:r>
          </w:p>
        </w:tc>
        <w:tc>
          <w:tcPr>
            <w:tcW w:w="2526" w:type="dxa"/>
          </w:tcPr>
          <w:p w14:paraId="5D5CAC2D" w14:textId="427A2AA0" w:rsidR="00526B91" w:rsidRDefault="004F0A44" w:rsidP="004D17B6">
            <w:pPr>
              <w:jc w:val="center"/>
            </w:pPr>
            <w:r>
              <w:t>-7.011</w:t>
            </w:r>
          </w:p>
        </w:tc>
      </w:tr>
      <w:tr w:rsidR="00526B91" w14:paraId="43DE52B8" w14:textId="77777777" w:rsidTr="00CB1929">
        <w:trPr>
          <w:trHeight w:val="281"/>
        </w:trPr>
        <w:tc>
          <w:tcPr>
            <w:tcW w:w="2747" w:type="dxa"/>
          </w:tcPr>
          <w:p w14:paraId="665908EB" w14:textId="4C7D2101" w:rsidR="00526B91" w:rsidRDefault="00EB0CBD" w:rsidP="004D17B6">
            <w:pPr>
              <w:jc w:val="center"/>
            </w:pPr>
            <w:r w:rsidRPr="00EB0CBD">
              <w:t>NM_001007722</w:t>
            </w:r>
          </w:p>
        </w:tc>
        <w:tc>
          <w:tcPr>
            <w:tcW w:w="2447" w:type="dxa"/>
          </w:tcPr>
          <w:p w14:paraId="00B80C19" w14:textId="4AB4B3A1" w:rsidR="00526B91" w:rsidRPr="00EB0CBD" w:rsidRDefault="00EB0CBD" w:rsidP="004D17B6">
            <w:pPr>
              <w:jc w:val="center"/>
              <w:rPr>
                <w:vertAlign w:val="superscript"/>
              </w:rPr>
            </w:pPr>
            <w:r>
              <w:t>5.03 x 10</w:t>
            </w:r>
            <w:r>
              <w:rPr>
                <w:vertAlign w:val="superscript"/>
              </w:rPr>
              <w:t>-57</w:t>
            </w:r>
          </w:p>
        </w:tc>
        <w:tc>
          <w:tcPr>
            <w:tcW w:w="2526" w:type="dxa"/>
          </w:tcPr>
          <w:p w14:paraId="2FB4BDB3" w14:textId="7680ADC9" w:rsidR="00526B91" w:rsidRDefault="004F0A44" w:rsidP="004D17B6">
            <w:pPr>
              <w:jc w:val="center"/>
            </w:pPr>
            <w:r>
              <w:t>-6.876</w:t>
            </w:r>
          </w:p>
        </w:tc>
      </w:tr>
      <w:tr w:rsidR="00526B91" w14:paraId="64E0479F" w14:textId="77777777" w:rsidTr="00CB1929">
        <w:trPr>
          <w:trHeight w:val="269"/>
        </w:trPr>
        <w:tc>
          <w:tcPr>
            <w:tcW w:w="2747" w:type="dxa"/>
          </w:tcPr>
          <w:p w14:paraId="43184841" w14:textId="526CE091" w:rsidR="00526B91" w:rsidRDefault="00EB0CBD" w:rsidP="004D17B6">
            <w:pPr>
              <w:jc w:val="center"/>
            </w:pPr>
            <w:r w:rsidRPr="00EB0CBD">
              <w:t>NM_198776</w:t>
            </w:r>
          </w:p>
        </w:tc>
        <w:tc>
          <w:tcPr>
            <w:tcW w:w="2447" w:type="dxa"/>
          </w:tcPr>
          <w:p w14:paraId="1598BAE2" w14:textId="105FDAE7" w:rsidR="00526B91" w:rsidRPr="00EB0CBD" w:rsidRDefault="00EB0CBD" w:rsidP="004D17B6">
            <w:pPr>
              <w:jc w:val="center"/>
              <w:rPr>
                <w:vertAlign w:val="superscript"/>
              </w:rPr>
            </w:pPr>
            <w:r>
              <w:t>1.16 x 10</w:t>
            </w:r>
            <w:r>
              <w:rPr>
                <w:vertAlign w:val="superscript"/>
              </w:rPr>
              <w:t>-31</w:t>
            </w:r>
          </w:p>
        </w:tc>
        <w:tc>
          <w:tcPr>
            <w:tcW w:w="2526" w:type="dxa"/>
          </w:tcPr>
          <w:p w14:paraId="1F463EB4" w14:textId="29EB6DC9" w:rsidR="00526B91" w:rsidRDefault="004F0A44" w:rsidP="004D17B6">
            <w:pPr>
              <w:jc w:val="center"/>
            </w:pPr>
            <w:r>
              <w:t>-0.007</w:t>
            </w:r>
          </w:p>
        </w:tc>
      </w:tr>
      <w:tr w:rsidR="00526B91" w14:paraId="769E3126" w14:textId="77777777" w:rsidTr="00CB1929">
        <w:trPr>
          <w:trHeight w:val="281"/>
        </w:trPr>
        <w:tc>
          <w:tcPr>
            <w:tcW w:w="2747" w:type="dxa"/>
          </w:tcPr>
          <w:p w14:paraId="0B287C80" w14:textId="66EA9048" w:rsidR="00526B91" w:rsidRDefault="00EB0CBD" w:rsidP="004D17B6">
            <w:pPr>
              <w:jc w:val="center"/>
            </w:pPr>
            <w:r w:rsidRPr="00EB0CBD">
              <w:t>NM_013096</w:t>
            </w:r>
          </w:p>
        </w:tc>
        <w:tc>
          <w:tcPr>
            <w:tcW w:w="2447" w:type="dxa"/>
          </w:tcPr>
          <w:p w14:paraId="2B3CF6E5" w14:textId="540D9FB8" w:rsidR="00526B91" w:rsidRPr="00EB0CBD" w:rsidRDefault="00EB0CBD" w:rsidP="004D17B6">
            <w:pPr>
              <w:jc w:val="center"/>
              <w:rPr>
                <w:vertAlign w:val="superscript"/>
              </w:rPr>
            </w:pPr>
            <w:r>
              <w:t>3.18 x 10</w:t>
            </w:r>
            <w:r>
              <w:rPr>
                <w:vertAlign w:val="superscript"/>
              </w:rPr>
              <w:t>22</w:t>
            </w:r>
          </w:p>
        </w:tc>
        <w:tc>
          <w:tcPr>
            <w:tcW w:w="2526" w:type="dxa"/>
          </w:tcPr>
          <w:p w14:paraId="5CD8721A" w14:textId="6DB69139" w:rsidR="00526B91" w:rsidRDefault="004F0A44" w:rsidP="004D17B6">
            <w:pPr>
              <w:jc w:val="center"/>
            </w:pPr>
            <w:r>
              <w:t>-0.002</w:t>
            </w:r>
          </w:p>
        </w:tc>
      </w:tr>
      <w:tr w:rsidR="00526B91" w14:paraId="65EF21EE" w14:textId="77777777" w:rsidTr="00CB1929">
        <w:trPr>
          <w:trHeight w:val="281"/>
        </w:trPr>
        <w:tc>
          <w:tcPr>
            <w:tcW w:w="2747" w:type="dxa"/>
          </w:tcPr>
          <w:p w14:paraId="2DD0799D" w14:textId="00F4B144" w:rsidR="00526B91" w:rsidRDefault="00EB0CBD" w:rsidP="004D17B6">
            <w:pPr>
              <w:jc w:val="center"/>
            </w:pPr>
            <w:r w:rsidRPr="00EB0CBD">
              <w:t>NM_012623</w:t>
            </w:r>
          </w:p>
        </w:tc>
        <w:tc>
          <w:tcPr>
            <w:tcW w:w="2447" w:type="dxa"/>
          </w:tcPr>
          <w:p w14:paraId="31D64AC9" w14:textId="655522AF" w:rsidR="00526B91" w:rsidRPr="00EB0CBD" w:rsidRDefault="00EB0CBD" w:rsidP="004D17B6">
            <w:pPr>
              <w:jc w:val="center"/>
              <w:rPr>
                <w:vertAlign w:val="superscript"/>
              </w:rPr>
            </w:pPr>
            <w:r>
              <w:t>7.00 x 10</w:t>
            </w:r>
            <w:r>
              <w:rPr>
                <w:vertAlign w:val="superscript"/>
              </w:rPr>
              <w:t>-16</w:t>
            </w:r>
          </w:p>
        </w:tc>
        <w:tc>
          <w:tcPr>
            <w:tcW w:w="2526" w:type="dxa"/>
          </w:tcPr>
          <w:p w14:paraId="04FFD731" w14:textId="006D2713" w:rsidR="00526B91" w:rsidRDefault="004F0A44" w:rsidP="004D17B6">
            <w:pPr>
              <w:jc w:val="center"/>
            </w:pPr>
            <w:r>
              <w:t>3.781</w:t>
            </w:r>
          </w:p>
        </w:tc>
      </w:tr>
      <w:tr w:rsidR="00526B91" w14:paraId="24E85443" w14:textId="77777777" w:rsidTr="00CB1929">
        <w:trPr>
          <w:trHeight w:val="281"/>
        </w:trPr>
        <w:tc>
          <w:tcPr>
            <w:tcW w:w="2747" w:type="dxa"/>
          </w:tcPr>
          <w:p w14:paraId="21F58AF8" w14:textId="396CF26A" w:rsidR="00526B91" w:rsidRDefault="00EB0CBD" w:rsidP="004D17B6">
            <w:pPr>
              <w:jc w:val="center"/>
            </w:pPr>
            <w:r w:rsidRPr="00EB0CBD">
              <w:t>NM_199113</w:t>
            </w:r>
          </w:p>
        </w:tc>
        <w:tc>
          <w:tcPr>
            <w:tcW w:w="2447" w:type="dxa"/>
          </w:tcPr>
          <w:p w14:paraId="63E107F6" w14:textId="509F0A99" w:rsidR="00526B91" w:rsidRPr="00EB0CBD" w:rsidRDefault="00EB0CBD" w:rsidP="004D17B6">
            <w:pPr>
              <w:jc w:val="center"/>
              <w:rPr>
                <w:vertAlign w:val="superscript"/>
              </w:rPr>
            </w:pPr>
            <w:r>
              <w:t>2.45 x 10</w:t>
            </w:r>
            <w:r>
              <w:rPr>
                <w:vertAlign w:val="superscript"/>
              </w:rPr>
              <w:t>-13</w:t>
            </w:r>
          </w:p>
        </w:tc>
        <w:tc>
          <w:tcPr>
            <w:tcW w:w="2526" w:type="dxa"/>
          </w:tcPr>
          <w:p w14:paraId="4AFB473A" w14:textId="0D93F6BB" w:rsidR="00526B91" w:rsidRDefault="004F0A44" w:rsidP="004D17B6">
            <w:pPr>
              <w:jc w:val="center"/>
            </w:pPr>
            <w:r>
              <w:t>-2.418</w:t>
            </w:r>
          </w:p>
        </w:tc>
      </w:tr>
      <w:tr w:rsidR="00526B91" w14:paraId="34638EAD" w14:textId="77777777" w:rsidTr="00CB1929">
        <w:trPr>
          <w:trHeight w:val="281"/>
        </w:trPr>
        <w:tc>
          <w:tcPr>
            <w:tcW w:w="2747" w:type="dxa"/>
          </w:tcPr>
          <w:p w14:paraId="7FF56028" w14:textId="56AA370B" w:rsidR="00526B91" w:rsidRDefault="00EB0CBD" w:rsidP="004D17B6">
            <w:pPr>
              <w:jc w:val="center"/>
            </w:pPr>
            <w:r w:rsidRPr="00EB0CBD">
              <w:t>NM_001107084</w:t>
            </w:r>
          </w:p>
        </w:tc>
        <w:tc>
          <w:tcPr>
            <w:tcW w:w="2447" w:type="dxa"/>
          </w:tcPr>
          <w:p w14:paraId="0376EC3A" w14:textId="3ACCAAE2" w:rsidR="00526B91" w:rsidRPr="00EB0CBD" w:rsidRDefault="00EB0CBD" w:rsidP="004D17B6">
            <w:pPr>
              <w:jc w:val="center"/>
              <w:rPr>
                <w:vertAlign w:val="superscript"/>
              </w:rPr>
            </w:pPr>
            <w:r>
              <w:t>2.28 x 10</w:t>
            </w:r>
            <w:r>
              <w:rPr>
                <w:vertAlign w:val="superscript"/>
              </w:rPr>
              <w:t>-8</w:t>
            </w:r>
          </w:p>
        </w:tc>
        <w:tc>
          <w:tcPr>
            <w:tcW w:w="2526" w:type="dxa"/>
          </w:tcPr>
          <w:p w14:paraId="04510CC5" w14:textId="7D9F2F87" w:rsidR="00526B91" w:rsidRDefault="004F0A44" w:rsidP="004D17B6">
            <w:pPr>
              <w:jc w:val="center"/>
            </w:pPr>
            <w:r>
              <w:t>-0.007</w:t>
            </w:r>
          </w:p>
        </w:tc>
      </w:tr>
      <w:tr w:rsidR="00526B91" w14:paraId="7210E750" w14:textId="77777777" w:rsidTr="00CB1929">
        <w:trPr>
          <w:trHeight w:val="281"/>
        </w:trPr>
        <w:tc>
          <w:tcPr>
            <w:tcW w:w="2747" w:type="dxa"/>
          </w:tcPr>
          <w:p w14:paraId="6A6543A9" w14:textId="06F8ED8C" w:rsidR="00526B91" w:rsidRDefault="00EB0CBD" w:rsidP="004D17B6">
            <w:pPr>
              <w:jc w:val="center"/>
            </w:pPr>
            <w:r w:rsidRPr="00EB0CBD">
              <w:t>NM_001013057</w:t>
            </w:r>
          </w:p>
        </w:tc>
        <w:tc>
          <w:tcPr>
            <w:tcW w:w="2447" w:type="dxa"/>
          </w:tcPr>
          <w:p w14:paraId="49E188CE" w14:textId="2F0E99AA" w:rsidR="00526B91" w:rsidRPr="00EB0CBD" w:rsidRDefault="00EB0CBD" w:rsidP="004D17B6">
            <w:pPr>
              <w:jc w:val="center"/>
              <w:rPr>
                <w:vertAlign w:val="superscript"/>
              </w:rPr>
            </w:pPr>
            <w:r>
              <w:t>9.03 x 10</w:t>
            </w:r>
            <w:r>
              <w:rPr>
                <w:vertAlign w:val="superscript"/>
              </w:rPr>
              <w:t>-7</w:t>
            </w:r>
          </w:p>
        </w:tc>
        <w:tc>
          <w:tcPr>
            <w:tcW w:w="2526" w:type="dxa"/>
          </w:tcPr>
          <w:p w14:paraId="6C4A1B94" w14:textId="69DAE51A" w:rsidR="00526B91" w:rsidRDefault="004F0A44" w:rsidP="004D17B6">
            <w:pPr>
              <w:jc w:val="center"/>
            </w:pPr>
            <w:r>
              <w:t>-2.589</w:t>
            </w:r>
          </w:p>
        </w:tc>
      </w:tr>
      <w:tr w:rsidR="00526B91" w14:paraId="6A4685D2" w14:textId="77777777" w:rsidTr="00CB1929">
        <w:trPr>
          <w:trHeight w:val="269"/>
        </w:trPr>
        <w:tc>
          <w:tcPr>
            <w:tcW w:w="2747" w:type="dxa"/>
          </w:tcPr>
          <w:p w14:paraId="0D86CD4B" w14:textId="4BD709E9" w:rsidR="00526B91" w:rsidRDefault="00EB0CBD" w:rsidP="004D17B6">
            <w:pPr>
              <w:jc w:val="center"/>
            </w:pPr>
            <w:r w:rsidRPr="00EB0CBD">
              <w:t>NM_053962</w:t>
            </w:r>
          </w:p>
        </w:tc>
        <w:tc>
          <w:tcPr>
            <w:tcW w:w="2447" w:type="dxa"/>
          </w:tcPr>
          <w:p w14:paraId="077E7903" w14:textId="1FD37F44" w:rsidR="00526B91" w:rsidRPr="00EB0CBD" w:rsidRDefault="00EB0CBD" w:rsidP="004D17B6">
            <w:pPr>
              <w:jc w:val="center"/>
              <w:rPr>
                <w:vertAlign w:val="superscript"/>
              </w:rPr>
            </w:pPr>
            <w:r>
              <w:t>2.20 x 10</w:t>
            </w:r>
            <w:r>
              <w:rPr>
                <w:vertAlign w:val="superscript"/>
              </w:rPr>
              <w:t>-6</w:t>
            </w:r>
          </w:p>
        </w:tc>
        <w:tc>
          <w:tcPr>
            <w:tcW w:w="2526" w:type="dxa"/>
          </w:tcPr>
          <w:p w14:paraId="19F51580" w14:textId="32BF2428" w:rsidR="00526B91" w:rsidRDefault="004F0A44" w:rsidP="004D17B6">
            <w:pPr>
              <w:jc w:val="center"/>
            </w:pPr>
            <w:r>
              <w:t>1.627</w:t>
            </w:r>
          </w:p>
        </w:tc>
      </w:tr>
      <w:tr w:rsidR="00526B91" w14:paraId="0AB7CAD3" w14:textId="77777777" w:rsidTr="00CB1929">
        <w:trPr>
          <w:trHeight w:val="281"/>
        </w:trPr>
        <w:tc>
          <w:tcPr>
            <w:tcW w:w="2747" w:type="dxa"/>
          </w:tcPr>
          <w:p w14:paraId="2E88BD94" w14:textId="1AB4A4C7" w:rsidR="00526B91" w:rsidRDefault="00EB0CBD" w:rsidP="004D17B6">
            <w:pPr>
              <w:jc w:val="center"/>
            </w:pPr>
            <w:r w:rsidRPr="00EB0CBD">
              <w:t>NM_001271152</w:t>
            </w:r>
          </w:p>
        </w:tc>
        <w:tc>
          <w:tcPr>
            <w:tcW w:w="2447" w:type="dxa"/>
          </w:tcPr>
          <w:p w14:paraId="4EDDAD02" w14:textId="433AED6F" w:rsidR="00526B91" w:rsidRPr="00EB0CBD" w:rsidRDefault="00EB0CBD" w:rsidP="004D17B6">
            <w:pPr>
              <w:jc w:val="center"/>
              <w:rPr>
                <w:vertAlign w:val="superscript"/>
              </w:rPr>
            </w:pPr>
            <w:r>
              <w:t>3.84 x 10</w:t>
            </w:r>
            <w:r>
              <w:rPr>
                <w:vertAlign w:val="superscript"/>
              </w:rPr>
              <w:t>-6</w:t>
            </w:r>
          </w:p>
        </w:tc>
        <w:tc>
          <w:tcPr>
            <w:tcW w:w="2526" w:type="dxa"/>
          </w:tcPr>
          <w:p w14:paraId="29430231" w14:textId="51F157B9" w:rsidR="00526B91" w:rsidRDefault="004F0A44" w:rsidP="004D17B6">
            <w:pPr>
              <w:jc w:val="center"/>
            </w:pPr>
            <w:r>
              <w:t>-1.403</w:t>
            </w:r>
          </w:p>
        </w:tc>
      </w:tr>
    </w:tbl>
    <w:p w14:paraId="6F9F2A12" w14:textId="41EC2623" w:rsidR="00EC408B" w:rsidRDefault="00526B91" w:rsidP="002C70D9">
      <w:pPr>
        <w:jc w:val="both"/>
        <w:rPr>
          <w:sz w:val="22"/>
          <w:szCs w:val="20"/>
        </w:rPr>
      </w:pPr>
      <w:r>
        <w:rPr>
          <w:sz w:val="22"/>
          <w:szCs w:val="20"/>
        </w:rPr>
        <w:t xml:space="preserve">Table 2: Top 10 differentially expressed genes for the </w:t>
      </w:r>
      <w:r>
        <w:rPr>
          <w:sz w:val="22"/>
          <w:szCs w:val="20"/>
        </w:rPr>
        <w:t>DNA</w:t>
      </w:r>
      <w:r>
        <w:rPr>
          <w:sz w:val="22"/>
          <w:szCs w:val="20"/>
        </w:rPr>
        <w:t xml:space="preserve"> damage subgroup</w:t>
      </w:r>
    </w:p>
    <w:tbl>
      <w:tblPr>
        <w:tblStyle w:val="TableGrid"/>
        <w:tblW w:w="0" w:type="auto"/>
        <w:tblInd w:w="279" w:type="dxa"/>
        <w:tblLook w:val="04A0" w:firstRow="1" w:lastRow="0" w:firstColumn="1" w:lastColumn="0" w:noHBand="0" w:noVBand="1"/>
      </w:tblPr>
      <w:tblGrid>
        <w:gridCol w:w="2774"/>
        <w:gridCol w:w="2329"/>
        <w:gridCol w:w="2551"/>
      </w:tblGrid>
      <w:tr w:rsidR="00526B91" w14:paraId="6594FBE9" w14:textId="77777777" w:rsidTr="00CB1929">
        <w:tc>
          <w:tcPr>
            <w:tcW w:w="2774" w:type="dxa"/>
          </w:tcPr>
          <w:p w14:paraId="1088ACAE" w14:textId="77777777" w:rsidR="00526B91" w:rsidRPr="0085503E" w:rsidRDefault="00526B91" w:rsidP="004D17B6">
            <w:pPr>
              <w:jc w:val="center"/>
              <w:rPr>
                <w:b/>
                <w:bCs/>
              </w:rPr>
            </w:pPr>
            <w:r>
              <w:rPr>
                <w:b/>
                <w:bCs/>
              </w:rPr>
              <w:t>Gene</w:t>
            </w:r>
          </w:p>
        </w:tc>
        <w:tc>
          <w:tcPr>
            <w:tcW w:w="2329" w:type="dxa"/>
          </w:tcPr>
          <w:p w14:paraId="665553EB" w14:textId="77777777" w:rsidR="00526B91" w:rsidRPr="0085503E" w:rsidRDefault="00526B91" w:rsidP="004D17B6">
            <w:pPr>
              <w:jc w:val="center"/>
              <w:rPr>
                <w:b/>
                <w:bCs/>
              </w:rPr>
            </w:pPr>
            <w:r>
              <w:rPr>
                <w:b/>
                <w:bCs/>
              </w:rPr>
              <w:t>Adjust P-value</w:t>
            </w:r>
          </w:p>
        </w:tc>
        <w:tc>
          <w:tcPr>
            <w:tcW w:w="2551" w:type="dxa"/>
          </w:tcPr>
          <w:p w14:paraId="72814DDD" w14:textId="77777777" w:rsidR="00526B91" w:rsidRDefault="00526B91" w:rsidP="004D17B6">
            <w:pPr>
              <w:jc w:val="center"/>
              <w:rPr>
                <w:b/>
                <w:bCs/>
              </w:rPr>
            </w:pPr>
            <w:r>
              <w:rPr>
                <w:b/>
                <w:bCs/>
              </w:rPr>
              <w:t>Log2 Fold Change</w:t>
            </w:r>
          </w:p>
        </w:tc>
      </w:tr>
      <w:tr w:rsidR="00526B91" w14:paraId="6DB67F29" w14:textId="77777777" w:rsidTr="00CB1929">
        <w:tc>
          <w:tcPr>
            <w:tcW w:w="2774" w:type="dxa"/>
          </w:tcPr>
          <w:p w14:paraId="1F9117C0" w14:textId="0811AA47" w:rsidR="00526B91" w:rsidRDefault="004F0A44" w:rsidP="004D17B6">
            <w:pPr>
              <w:jc w:val="center"/>
            </w:pPr>
            <w:r w:rsidRPr="004F0A44">
              <w:t>NM_013096</w:t>
            </w:r>
          </w:p>
        </w:tc>
        <w:tc>
          <w:tcPr>
            <w:tcW w:w="2329" w:type="dxa"/>
          </w:tcPr>
          <w:p w14:paraId="1C48EF21" w14:textId="3217DBA8" w:rsidR="00526B91" w:rsidRPr="004F0A44" w:rsidRDefault="004F0A44" w:rsidP="004D17B6">
            <w:pPr>
              <w:jc w:val="center"/>
              <w:rPr>
                <w:vertAlign w:val="superscript"/>
              </w:rPr>
            </w:pPr>
            <w:r>
              <w:t>1.06 x 10</w:t>
            </w:r>
            <w:r>
              <w:rPr>
                <w:vertAlign w:val="superscript"/>
              </w:rPr>
              <w:t>-55</w:t>
            </w:r>
          </w:p>
        </w:tc>
        <w:tc>
          <w:tcPr>
            <w:tcW w:w="2551" w:type="dxa"/>
          </w:tcPr>
          <w:p w14:paraId="350A7851" w14:textId="59CAA9A6" w:rsidR="00526B91" w:rsidRDefault="0057141E" w:rsidP="004D17B6">
            <w:pPr>
              <w:jc w:val="center"/>
            </w:pPr>
            <w:r>
              <w:t>-9.918</w:t>
            </w:r>
          </w:p>
        </w:tc>
      </w:tr>
      <w:tr w:rsidR="00526B91" w14:paraId="1DE0C341" w14:textId="77777777" w:rsidTr="00CB1929">
        <w:tc>
          <w:tcPr>
            <w:tcW w:w="2774" w:type="dxa"/>
          </w:tcPr>
          <w:p w14:paraId="0D392988" w14:textId="2C1293E5" w:rsidR="00526B91" w:rsidRDefault="004F0A44" w:rsidP="004D17B6">
            <w:pPr>
              <w:jc w:val="center"/>
            </w:pPr>
            <w:r w:rsidRPr="004F0A44">
              <w:t>NM_033234</w:t>
            </w:r>
          </w:p>
        </w:tc>
        <w:tc>
          <w:tcPr>
            <w:tcW w:w="2329" w:type="dxa"/>
          </w:tcPr>
          <w:p w14:paraId="64FAED98" w14:textId="02F6C658" w:rsidR="00526B91" w:rsidRPr="004F0A44" w:rsidRDefault="004F0A44" w:rsidP="004D17B6">
            <w:pPr>
              <w:jc w:val="center"/>
              <w:rPr>
                <w:vertAlign w:val="superscript"/>
              </w:rPr>
            </w:pPr>
            <w:r>
              <w:t>7.98 x 10</w:t>
            </w:r>
            <w:r>
              <w:rPr>
                <w:vertAlign w:val="superscript"/>
              </w:rPr>
              <w:t>-54</w:t>
            </w:r>
          </w:p>
        </w:tc>
        <w:tc>
          <w:tcPr>
            <w:tcW w:w="2551" w:type="dxa"/>
          </w:tcPr>
          <w:p w14:paraId="0979B9FD" w14:textId="653F6EEA" w:rsidR="00526B91" w:rsidRDefault="0057141E" w:rsidP="004D17B6">
            <w:pPr>
              <w:jc w:val="center"/>
            </w:pPr>
            <w:r>
              <w:t>-10.145</w:t>
            </w:r>
          </w:p>
        </w:tc>
      </w:tr>
      <w:tr w:rsidR="00526B91" w14:paraId="047BF5FD" w14:textId="77777777" w:rsidTr="00CB1929">
        <w:tc>
          <w:tcPr>
            <w:tcW w:w="2774" w:type="dxa"/>
          </w:tcPr>
          <w:p w14:paraId="52AF4BC2" w14:textId="076B3A52" w:rsidR="00526B91" w:rsidRDefault="004F0A44" w:rsidP="004D17B6">
            <w:pPr>
              <w:jc w:val="center"/>
            </w:pPr>
            <w:r w:rsidRPr="004F0A44">
              <w:t>NM_001007722</w:t>
            </w:r>
          </w:p>
        </w:tc>
        <w:tc>
          <w:tcPr>
            <w:tcW w:w="2329" w:type="dxa"/>
          </w:tcPr>
          <w:p w14:paraId="29FA45B1" w14:textId="49D721FF" w:rsidR="00526B91" w:rsidRPr="004F0A44" w:rsidRDefault="004F0A44" w:rsidP="004D17B6">
            <w:pPr>
              <w:jc w:val="center"/>
              <w:rPr>
                <w:vertAlign w:val="superscript"/>
              </w:rPr>
            </w:pPr>
            <w:r>
              <w:t>6.79 x 10</w:t>
            </w:r>
            <w:r>
              <w:rPr>
                <w:vertAlign w:val="superscript"/>
              </w:rPr>
              <w:t>-44</w:t>
            </w:r>
          </w:p>
        </w:tc>
        <w:tc>
          <w:tcPr>
            <w:tcW w:w="2551" w:type="dxa"/>
          </w:tcPr>
          <w:p w14:paraId="01506694" w14:textId="39770582" w:rsidR="00526B91" w:rsidRDefault="0057141E" w:rsidP="004D17B6">
            <w:pPr>
              <w:jc w:val="center"/>
            </w:pPr>
            <w:r>
              <w:t>-9.213</w:t>
            </w:r>
          </w:p>
        </w:tc>
      </w:tr>
      <w:tr w:rsidR="00526B91" w14:paraId="6A63D71C" w14:textId="77777777" w:rsidTr="00CB1929">
        <w:tc>
          <w:tcPr>
            <w:tcW w:w="2774" w:type="dxa"/>
          </w:tcPr>
          <w:p w14:paraId="2298A38F" w14:textId="4CF7A3FC" w:rsidR="00526B91" w:rsidRDefault="004F0A44" w:rsidP="004D17B6">
            <w:pPr>
              <w:jc w:val="center"/>
            </w:pPr>
            <w:r w:rsidRPr="004F0A44">
              <w:t>NM_001257095</w:t>
            </w:r>
          </w:p>
        </w:tc>
        <w:tc>
          <w:tcPr>
            <w:tcW w:w="2329" w:type="dxa"/>
          </w:tcPr>
          <w:p w14:paraId="54C77036" w14:textId="7A695464" w:rsidR="00526B91" w:rsidRPr="004F0A44" w:rsidRDefault="004F0A44" w:rsidP="004D17B6">
            <w:pPr>
              <w:jc w:val="center"/>
              <w:rPr>
                <w:vertAlign w:val="superscript"/>
              </w:rPr>
            </w:pPr>
            <w:r>
              <w:t>1.99 x 10</w:t>
            </w:r>
            <w:r>
              <w:rPr>
                <w:vertAlign w:val="superscript"/>
              </w:rPr>
              <w:t>-40</w:t>
            </w:r>
          </w:p>
        </w:tc>
        <w:tc>
          <w:tcPr>
            <w:tcW w:w="2551" w:type="dxa"/>
          </w:tcPr>
          <w:p w14:paraId="02289835" w14:textId="595D3D19" w:rsidR="00526B91" w:rsidRDefault="0057141E" w:rsidP="004D17B6">
            <w:pPr>
              <w:jc w:val="center"/>
            </w:pPr>
            <w:r>
              <w:t>-4.455</w:t>
            </w:r>
          </w:p>
        </w:tc>
      </w:tr>
      <w:tr w:rsidR="00526B91" w14:paraId="73DCA41F" w14:textId="77777777" w:rsidTr="00CB1929">
        <w:tc>
          <w:tcPr>
            <w:tcW w:w="2774" w:type="dxa"/>
          </w:tcPr>
          <w:p w14:paraId="13402D4F" w14:textId="0E1F166E" w:rsidR="00526B91" w:rsidRDefault="004F0A44" w:rsidP="004D17B6">
            <w:pPr>
              <w:jc w:val="center"/>
            </w:pPr>
            <w:r w:rsidRPr="004F0A44">
              <w:t>NM_001130558</w:t>
            </w:r>
          </w:p>
        </w:tc>
        <w:tc>
          <w:tcPr>
            <w:tcW w:w="2329" w:type="dxa"/>
          </w:tcPr>
          <w:p w14:paraId="2016FBE7" w14:textId="64134015" w:rsidR="00526B91" w:rsidRPr="004F0A44" w:rsidRDefault="004F0A44" w:rsidP="004D17B6">
            <w:pPr>
              <w:jc w:val="center"/>
              <w:rPr>
                <w:vertAlign w:val="superscript"/>
              </w:rPr>
            </w:pPr>
            <w:r>
              <w:t>1.06 x 10</w:t>
            </w:r>
            <w:r>
              <w:rPr>
                <w:vertAlign w:val="superscript"/>
              </w:rPr>
              <w:t>-34</w:t>
            </w:r>
          </w:p>
        </w:tc>
        <w:tc>
          <w:tcPr>
            <w:tcW w:w="2551" w:type="dxa"/>
          </w:tcPr>
          <w:p w14:paraId="2CCA9C58" w14:textId="2EABA81E" w:rsidR="00526B91" w:rsidRDefault="0057141E" w:rsidP="004D17B6">
            <w:pPr>
              <w:jc w:val="center"/>
            </w:pPr>
            <w:r>
              <w:t>-7.073</w:t>
            </w:r>
          </w:p>
        </w:tc>
      </w:tr>
      <w:tr w:rsidR="00526B91" w14:paraId="4E542E43" w14:textId="77777777" w:rsidTr="00CB1929">
        <w:trPr>
          <w:trHeight w:val="165"/>
        </w:trPr>
        <w:tc>
          <w:tcPr>
            <w:tcW w:w="2774" w:type="dxa"/>
          </w:tcPr>
          <w:p w14:paraId="72913664" w14:textId="2F64B0D3" w:rsidR="00526B91" w:rsidRDefault="004F0A44" w:rsidP="004D17B6">
            <w:pPr>
              <w:jc w:val="center"/>
            </w:pPr>
            <w:r w:rsidRPr="004F0A44">
              <w:t>NM_012540</w:t>
            </w:r>
          </w:p>
        </w:tc>
        <w:tc>
          <w:tcPr>
            <w:tcW w:w="2329" w:type="dxa"/>
          </w:tcPr>
          <w:p w14:paraId="47E0815B" w14:textId="7975528C" w:rsidR="00526B91" w:rsidRPr="004F0A44" w:rsidRDefault="004F0A44" w:rsidP="004D17B6">
            <w:pPr>
              <w:jc w:val="center"/>
              <w:rPr>
                <w:vertAlign w:val="superscript"/>
              </w:rPr>
            </w:pPr>
            <w:r>
              <w:t>3.22 x 10</w:t>
            </w:r>
            <w:r>
              <w:rPr>
                <w:vertAlign w:val="superscript"/>
              </w:rPr>
              <w:t>-30</w:t>
            </w:r>
          </w:p>
        </w:tc>
        <w:tc>
          <w:tcPr>
            <w:tcW w:w="2551" w:type="dxa"/>
          </w:tcPr>
          <w:p w14:paraId="0ACF509C" w14:textId="37D4F987" w:rsidR="00526B91" w:rsidRDefault="0057141E" w:rsidP="004D17B6">
            <w:pPr>
              <w:jc w:val="center"/>
            </w:pPr>
            <w:r>
              <w:t>9.969</w:t>
            </w:r>
          </w:p>
        </w:tc>
      </w:tr>
      <w:tr w:rsidR="00526B91" w14:paraId="1422AE8A" w14:textId="77777777" w:rsidTr="00CB1929">
        <w:tc>
          <w:tcPr>
            <w:tcW w:w="2774" w:type="dxa"/>
          </w:tcPr>
          <w:p w14:paraId="0E7FA605" w14:textId="7DB72BD2" w:rsidR="00526B91" w:rsidRDefault="004F0A44" w:rsidP="004D17B6">
            <w:pPr>
              <w:jc w:val="center"/>
            </w:pPr>
            <w:r w:rsidRPr="004F0A44">
              <w:t>NM_198776</w:t>
            </w:r>
          </w:p>
        </w:tc>
        <w:tc>
          <w:tcPr>
            <w:tcW w:w="2329" w:type="dxa"/>
          </w:tcPr>
          <w:p w14:paraId="5210D3F3" w14:textId="3EF18AD0" w:rsidR="00526B91" w:rsidRPr="004F0A44" w:rsidRDefault="004F0A44" w:rsidP="004D17B6">
            <w:pPr>
              <w:jc w:val="center"/>
              <w:rPr>
                <w:vertAlign w:val="superscript"/>
              </w:rPr>
            </w:pPr>
            <w:r>
              <w:t>7.50 x 10</w:t>
            </w:r>
            <w:r>
              <w:rPr>
                <w:vertAlign w:val="superscript"/>
              </w:rPr>
              <w:t>-30</w:t>
            </w:r>
          </w:p>
        </w:tc>
        <w:tc>
          <w:tcPr>
            <w:tcW w:w="2551" w:type="dxa"/>
          </w:tcPr>
          <w:p w14:paraId="6A9FEBB7" w14:textId="4E0B40E2" w:rsidR="00526B91" w:rsidRDefault="0057141E" w:rsidP="004D17B6">
            <w:pPr>
              <w:jc w:val="center"/>
            </w:pPr>
            <w:r>
              <w:t>-7.500</w:t>
            </w:r>
          </w:p>
        </w:tc>
      </w:tr>
      <w:tr w:rsidR="00526B91" w14:paraId="33A8BF08" w14:textId="77777777" w:rsidTr="00CB1929">
        <w:tc>
          <w:tcPr>
            <w:tcW w:w="2774" w:type="dxa"/>
          </w:tcPr>
          <w:p w14:paraId="118E9C8F" w14:textId="10B44FC2" w:rsidR="00526B91" w:rsidRDefault="004F0A44" w:rsidP="004D17B6">
            <w:pPr>
              <w:jc w:val="center"/>
            </w:pPr>
            <w:r w:rsidRPr="004F0A44">
              <w:t>NM_012541</w:t>
            </w:r>
          </w:p>
        </w:tc>
        <w:tc>
          <w:tcPr>
            <w:tcW w:w="2329" w:type="dxa"/>
          </w:tcPr>
          <w:p w14:paraId="2718C4CF" w14:textId="67DE5A20" w:rsidR="00526B91" w:rsidRPr="004F0A44" w:rsidRDefault="004F0A44" w:rsidP="004D17B6">
            <w:pPr>
              <w:jc w:val="center"/>
              <w:rPr>
                <w:vertAlign w:val="superscript"/>
              </w:rPr>
            </w:pPr>
            <w:r>
              <w:t>1.89 x 10</w:t>
            </w:r>
            <w:r>
              <w:rPr>
                <w:vertAlign w:val="superscript"/>
              </w:rPr>
              <w:t>-</w:t>
            </w:r>
            <w:r w:rsidR="0057141E">
              <w:rPr>
                <w:vertAlign w:val="superscript"/>
              </w:rPr>
              <w:t>28</w:t>
            </w:r>
          </w:p>
        </w:tc>
        <w:tc>
          <w:tcPr>
            <w:tcW w:w="2551" w:type="dxa"/>
          </w:tcPr>
          <w:p w14:paraId="7C430F23" w14:textId="5CBC27D9" w:rsidR="00526B91" w:rsidRDefault="0057141E" w:rsidP="004D17B6">
            <w:pPr>
              <w:jc w:val="center"/>
            </w:pPr>
            <w:r>
              <w:t>4.329</w:t>
            </w:r>
          </w:p>
        </w:tc>
      </w:tr>
      <w:tr w:rsidR="00526B91" w14:paraId="7614B645" w14:textId="77777777" w:rsidTr="00CB1929">
        <w:tc>
          <w:tcPr>
            <w:tcW w:w="2774" w:type="dxa"/>
          </w:tcPr>
          <w:p w14:paraId="6BB55F8F" w14:textId="591A9256" w:rsidR="00526B91" w:rsidRDefault="004F0A44" w:rsidP="004D17B6">
            <w:pPr>
              <w:jc w:val="center"/>
            </w:pPr>
            <w:r w:rsidRPr="004F0A44">
              <w:t>NM_130407</w:t>
            </w:r>
          </w:p>
        </w:tc>
        <w:tc>
          <w:tcPr>
            <w:tcW w:w="2329" w:type="dxa"/>
          </w:tcPr>
          <w:p w14:paraId="281FDFFF" w14:textId="6AB51A03" w:rsidR="00526B91" w:rsidRPr="0057141E" w:rsidRDefault="0057141E" w:rsidP="004D17B6">
            <w:pPr>
              <w:jc w:val="center"/>
              <w:rPr>
                <w:vertAlign w:val="superscript"/>
              </w:rPr>
            </w:pPr>
            <w:r>
              <w:t>2.90 x 10</w:t>
            </w:r>
            <w:r>
              <w:rPr>
                <w:vertAlign w:val="superscript"/>
              </w:rPr>
              <w:t>-27</w:t>
            </w:r>
          </w:p>
        </w:tc>
        <w:tc>
          <w:tcPr>
            <w:tcW w:w="2551" w:type="dxa"/>
          </w:tcPr>
          <w:p w14:paraId="69E0F49A" w14:textId="4A88E8DC" w:rsidR="00526B91" w:rsidRDefault="0057141E" w:rsidP="004D17B6">
            <w:pPr>
              <w:jc w:val="center"/>
            </w:pPr>
            <w:r>
              <w:t>4.023</w:t>
            </w:r>
          </w:p>
        </w:tc>
      </w:tr>
      <w:tr w:rsidR="00526B91" w14:paraId="4DA75163" w14:textId="77777777" w:rsidTr="00CB1929">
        <w:tc>
          <w:tcPr>
            <w:tcW w:w="2774" w:type="dxa"/>
          </w:tcPr>
          <w:p w14:paraId="13A17EB6" w14:textId="7C8FF134" w:rsidR="00526B91" w:rsidRDefault="004F0A44" w:rsidP="004D17B6">
            <w:pPr>
              <w:jc w:val="center"/>
            </w:pPr>
            <w:r w:rsidRPr="004F0A44">
              <w:t>NM_001012174</w:t>
            </w:r>
          </w:p>
        </w:tc>
        <w:tc>
          <w:tcPr>
            <w:tcW w:w="2329" w:type="dxa"/>
          </w:tcPr>
          <w:p w14:paraId="3586D985" w14:textId="1A524B97" w:rsidR="00526B91" w:rsidRPr="0057141E" w:rsidRDefault="0057141E" w:rsidP="004D17B6">
            <w:pPr>
              <w:jc w:val="center"/>
              <w:rPr>
                <w:vertAlign w:val="superscript"/>
              </w:rPr>
            </w:pPr>
            <w:r>
              <w:t>5.11 x 10</w:t>
            </w:r>
            <w:r>
              <w:rPr>
                <w:vertAlign w:val="superscript"/>
              </w:rPr>
              <w:t>-27</w:t>
            </w:r>
          </w:p>
        </w:tc>
        <w:tc>
          <w:tcPr>
            <w:tcW w:w="2551" w:type="dxa"/>
          </w:tcPr>
          <w:p w14:paraId="11538F26" w14:textId="07142F79" w:rsidR="00526B91" w:rsidRDefault="0057141E" w:rsidP="004D17B6">
            <w:pPr>
              <w:jc w:val="center"/>
            </w:pPr>
            <w:r>
              <w:t>2.267</w:t>
            </w:r>
          </w:p>
        </w:tc>
      </w:tr>
    </w:tbl>
    <w:p w14:paraId="26EA1FBA" w14:textId="0F467E64" w:rsidR="00526B91" w:rsidRPr="0085503E" w:rsidRDefault="00526B91" w:rsidP="00526B91">
      <w:pPr>
        <w:jc w:val="both"/>
        <w:rPr>
          <w:sz w:val="22"/>
          <w:szCs w:val="20"/>
        </w:rPr>
      </w:pPr>
      <w:r>
        <w:rPr>
          <w:sz w:val="22"/>
          <w:szCs w:val="20"/>
        </w:rPr>
        <w:t xml:space="preserve">Table </w:t>
      </w:r>
      <w:r>
        <w:rPr>
          <w:sz w:val="22"/>
          <w:szCs w:val="20"/>
        </w:rPr>
        <w:t>3</w:t>
      </w:r>
      <w:r>
        <w:rPr>
          <w:sz w:val="22"/>
          <w:szCs w:val="20"/>
        </w:rPr>
        <w:t xml:space="preserve">: Top 10 differentially expressed genes for the </w:t>
      </w:r>
      <w:r>
        <w:rPr>
          <w:sz w:val="22"/>
          <w:szCs w:val="20"/>
        </w:rPr>
        <w:t>AhR</w:t>
      </w:r>
      <w:r>
        <w:rPr>
          <w:sz w:val="22"/>
          <w:szCs w:val="20"/>
        </w:rPr>
        <w:t xml:space="preserve"> subgroup</w:t>
      </w:r>
    </w:p>
    <w:tbl>
      <w:tblPr>
        <w:tblStyle w:val="TableGrid"/>
        <w:tblW w:w="0" w:type="auto"/>
        <w:tblInd w:w="279" w:type="dxa"/>
        <w:tblLook w:val="04A0" w:firstRow="1" w:lastRow="0" w:firstColumn="1" w:lastColumn="0" w:noHBand="0" w:noVBand="1"/>
      </w:tblPr>
      <w:tblGrid>
        <w:gridCol w:w="2774"/>
        <w:gridCol w:w="2329"/>
        <w:gridCol w:w="2551"/>
      </w:tblGrid>
      <w:tr w:rsidR="00526B91" w14:paraId="7984BCAA" w14:textId="77777777" w:rsidTr="00CB1929">
        <w:tc>
          <w:tcPr>
            <w:tcW w:w="2774" w:type="dxa"/>
          </w:tcPr>
          <w:p w14:paraId="0B6E5A6E" w14:textId="77777777" w:rsidR="00526B91" w:rsidRPr="0085503E" w:rsidRDefault="00526B91" w:rsidP="004D17B6">
            <w:pPr>
              <w:jc w:val="center"/>
              <w:rPr>
                <w:b/>
                <w:bCs/>
              </w:rPr>
            </w:pPr>
            <w:r>
              <w:rPr>
                <w:b/>
                <w:bCs/>
              </w:rPr>
              <w:t>Gene</w:t>
            </w:r>
          </w:p>
        </w:tc>
        <w:tc>
          <w:tcPr>
            <w:tcW w:w="2329" w:type="dxa"/>
          </w:tcPr>
          <w:p w14:paraId="238FDB5F" w14:textId="77777777" w:rsidR="00526B91" w:rsidRPr="0085503E" w:rsidRDefault="00526B91" w:rsidP="004D17B6">
            <w:pPr>
              <w:jc w:val="center"/>
              <w:rPr>
                <w:b/>
                <w:bCs/>
              </w:rPr>
            </w:pPr>
            <w:r>
              <w:rPr>
                <w:b/>
                <w:bCs/>
              </w:rPr>
              <w:t>Adjust P-value</w:t>
            </w:r>
          </w:p>
        </w:tc>
        <w:tc>
          <w:tcPr>
            <w:tcW w:w="2551" w:type="dxa"/>
          </w:tcPr>
          <w:p w14:paraId="60DF81D5" w14:textId="77777777" w:rsidR="00526B91" w:rsidRDefault="00526B91" w:rsidP="004D17B6">
            <w:pPr>
              <w:jc w:val="center"/>
              <w:rPr>
                <w:b/>
                <w:bCs/>
              </w:rPr>
            </w:pPr>
            <w:r>
              <w:rPr>
                <w:b/>
                <w:bCs/>
              </w:rPr>
              <w:t>Log2 Fold Change</w:t>
            </w:r>
          </w:p>
        </w:tc>
      </w:tr>
      <w:tr w:rsidR="00526B91" w14:paraId="67F3896E" w14:textId="77777777" w:rsidTr="00CB1929">
        <w:tc>
          <w:tcPr>
            <w:tcW w:w="2774" w:type="dxa"/>
          </w:tcPr>
          <w:p w14:paraId="7446C25C" w14:textId="77777777" w:rsidR="00526B91" w:rsidRDefault="00526B91" w:rsidP="004D17B6">
            <w:pPr>
              <w:jc w:val="center"/>
            </w:pPr>
            <w:r>
              <w:t>NM_053288</w:t>
            </w:r>
          </w:p>
        </w:tc>
        <w:tc>
          <w:tcPr>
            <w:tcW w:w="2329" w:type="dxa"/>
          </w:tcPr>
          <w:p w14:paraId="599B4652" w14:textId="77777777" w:rsidR="00526B91" w:rsidRPr="00526B91" w:rsidRDefault="00526B91" w:rsidP="004D17B6">
            <w:pPr>
              <w:jc w:val="center"/>
              <w:rPr>
                <w:vertAlign w:val="superscript"/>
              </w:rPr>
            </w:pPr>
            <w:r>
              <w:t>1.33 x 10</w:t>
            </w:r>
            <w:r>
              <w:rPr>
                <w:vertAlign w:val="superscript"/>
              </w:rPr>
              <w:t>-134</w:t>
            </w:r>
          </w:p>
        </w:tc>
        <w:tc>
          <w:tcPr>
            <w:tcW w:w="2551" w:type="dxa"/>
          </w:tcPr>
          <w:p w14:paraId="34E59E38" w14:textId="63C20FF8" w:rsidR="00526B91" w:rsidRDefault="00526B91" w:rsidP="004D17B6">
            <w:pPr>
              <w:jc w:val="center"/>
            </w:pPr>
            <w:r>
              <w:t>4.79</w:t>
            </w:r>
            <w:r w:rsidR="004F0A44">
              <w:t>2</w:t>
            </w:r>
          </w:p>
        </w:tc>
      </w:tr>
      <w:tr w:rsidR="00526B91" w14:paraId="4C5FEB69" w14:textId="77777777" w:rsidTr="00CB1929">
        <w:tc>
          <w:tcPr>
            <w:tcW w:w="2774" w:type="dxa"/>
          </w:tcPr>
          <w:p w14:paraId="04EC3EEB" w14:textId="77777777" w:rsidR="00526B91" w:rsidRDefault="00526B91" w:rsidP="004D17B6">
            <w:pPr>
              <w:jc w:val="center"/>
            </w:pPr>
            <w:r w:rsidRPr="0085503E">
              <w:t>NM_001130558</w:t>
            </w:r>
          </w:p>
        </w:tc>
        <w:tc>
          <w:tcPr>
            <w:tcW w:w="2329" w:type="dxa"/>
          </w:tcPr>
          <w:p w14:paraId="76367DCE" w14:textId="77777777" w:rsidR="00526B91" w:rsidRPr="00526B91" w:rsidRDefault="00526B91" w:rsidP="004D17B6">
            <w:pPr>
              <w:jc w:val="center"/>
              <w:rPr>
                <w:vertAlign w:val="superscript"/>
              </w:rPr>
            </w:pPr>
            <w:r>
              <w:t>1.35 x 10</w:t>
            </w:r>
            <w:r>
              <w:rPr>
                <w:vertAlign w:val="superscript"/>
              </w:rPr>
              <w:t>-87</w:t>
            </w:r>
          </w:p>
        </w:tc>
        <w:tc>
          <w:tcPr>
            <w:tcW w:w="2551" w:type="dxa"/>
          </w:tcPr>
          <w:p w14:paraId="23855022" w14:textId="26EB80C0" w:rsidR="00526B91" w:rsidRDefault="00526B91" w:rsidP="004D17B6">
            <w:pPr>
              <w:jc w:val="center"/>
            </w:pPr>
            <w:r>
              <w:t>-6.63</w:t>
            </w:r>
            <w:r w:rsidR="004F0A44">
              <w:t>9</w:t>
            </w:r>
          </w:p>
        </w:tc>
      </w:tr>
      <w:tr w:rsidR="00526B91" w14:paraId="33380F87" w14:textId="77777777" w:rsidTr="00CB1929">
        <w:tc>
          <w:tcPr>
            <w:tcW w:w="2774" w:type="dxa"/>
          </w:tcPr>
          <w:p w14:paraId="16D70ACA" w14:textId="77777777" w:rsidR="00526B91" w:rsidRDefault="00526B91" w:rsidP="004D17B6">
            <w:pPr>
              <w:jc w:val="center"/>
            </w:pPr>
            <w:r w:rsidRPr="0085503E">
              <w:t>NM_001134844</w:t>
            </w:r>
          </w:p>
        </w:tc>
        <w:tc>
          <w:tcPr>
            <w:tcW w:w="2329" w:type="dxa"/>
          </w:tcPr>
          <w:p w14:paraId="52C5B396" w14:textId="77777777" w:rsidR="00526B91" w:rsidRPr="00526B91" w:rsidRDefault="00526B91" w:rsidP="004D17B6">
            <w:pPr>
              <w:jc w:val="center"/>
              <w:rPr>
                <w:vertAlign w:val="superscript"/>
              </w:rPr>
            </w:pPr>
            <w:r>
              <w:t>2.61 x 10</w:t>
            </w:r>
            <w:r>
              <w:rPr>
                <w:vertAlign w:val="superscript"/>
              </w:rPr>
              <w:t>-82</w:t>
            </w:r>
          </w:p>
        </w:tc>
        <w:tc>
          <w:tcPr>
            <w:tcW w:w="2551" w:type="dxa"/>
          </w:tcPr>
          <w:p w14:paraId="058750EC" w14:textId="33B70F8E" w:rsidR="00526B91" w:rsidRDefault="00526B91" w:rsidP="004D17B6">
            <w:pPr>
              <w:jc w:val="center"/>
            </w:pPr>
            <w:r>
              <w:t>6.92</w:t>
            </w:r>
            <w:r w:rsidR="004F0A44">
              <w:t>3</w:t>
            </w:r>
          </w:p>
        </w:tc>
      </w:tr>
      <w:tr w:rsidR="00526B91" w14:paraId="3BFD9AB4" w14:textId="77777777" w:rsidTr="00CB1929">
        <w:tc>
          <w:tcPr>
            <w:tcW w:w="2774" w:type="dxa"/>
          </w:tcPr>
          <w:p w14:paraId="08B884D0" w14:textId="77777777" w:rsidR="00526B91" w:rsidRDefault="00526B91" w:rsidP="004D17B6">
            <w:pPr>
              <w:jc w:val="center"/>
            </w:pPr>
            <w:r w:rsidRPr="0085503E">
              <w:t>NM_080581</w:t>
            </w:r>
          </w:p>
        </w:tc>
        <w:tc>
          <w:tcPr>
            <w:tcW w:w="2329" w:type="dxa"/>
          </w:tcPr>
          <w:p w14:paraId="29CBE014" w14:textId="77777777" w:rsidR="00526B91" w:rsidRPr="00526B91" w:rsidRDefault="00526B91" w:rsidP="004D17B6">
            <w:pPr>
              <w:jc w:val="center"/>
              <w:rPr>
                <w:vertAlign w:val="superscript"/>
              </w:rPr>
            </w:pPr>
            <w:r>
              <w:t>1.96 x 10</w:t>
            </w:r>
            <w:r>
              <w:rPr>
                <w:vertAlign w:val="superscript"/>
              </w:rPr>
              <w:t>-51</w:t>
            </w:r>
          </w:p>
        </w:tc>
        <w:tc>
          <w:tcPr>
            <w:tcW w:w="2551" w:type="dxa"/>
          </w:tcPr>
          <w:p w14:paraId="0D6021CE" w14:textId="10DC9135" w:rsidR="00526B91" w:rsidRDefault="00526B91" w:rsidP="004D17B6">
            <w:pPr>
              <w:jc w:val="center"/>
            </w:pPr>
            <w:r>
              <w:t>4.89</w:t>
            </w:r>
            <w:r w:rsidR="004F0A44">
              <w:t>9</w:t>
            </w:r>
          </w:p>
        </w:tc>
      </w:tr>
      <w:tr w:rsidR="00526B91" w14:paraId="207F5F1A" w14:textId="77777777" w:rsidTr="00CB1929">
        <w:tc>
          <w:tcPr>
            <w:tcW w:w="2774" w:type="dxa"/>
          </w:tcPr>
          <w:p w14:paraId="0B24AE15" w14:textId="77777777" w:rsidR="00526B91" w:rsidRDefault="00526B91" w:rsidP="004D17B6">
            <w:pPr>
              <w:jc w:val="center"/>
            </w:pPr>
            <w:r w:rsidRPr="0085503E">
              <w:t>NM_013033</w:t>
            </w:r>
          </w:p>
        </w:tc>
        <w:tc>
          <w:tcPr>
            <w:tcW w:w="2329" w:type="dxa"/>
          </w:tcPr>
          <w:p w14:paraId="19370212" w14:textId="77777777" w:rsidR="00526B91" w:rsidRPr="00526B91" w:rsidRDefault="00526B91" w:rsidP="004D17B6">
            <w:pPr>
              <w:jc w:val="center"/>
              <w:rPr>
                <w:vertAlign w:val="superscript"/>
              </w:rPr>
            </w:pPr>
            <w:r>
              <w:t>7.94 x 10</w:t>
            </w:r>
            <w:r>
              <w:rPr>
                <w:vertAlign w:val="superscript"/>
              </w:rPr>
              <w:t>-45</w:t>
            </w:r>
          </w:p>
        </w:tc>
        <w:tc>
          <w:tcPr>
            <w:tcW w:w="2551" w:type="dxa"/>
          </w:tcPr>
          <w:p w14:paraId="6E5726FB" w14:textId="78BB50D4" w:rsidR="00526B91" w:rsidRDefault="00526B91" w:rsidP="004D17B6">
            <w:pPr>
              <w:jc w:val="center"/>
            </w:pPr>
            <w:r>
              <w:t>5.58</w:t>
            </w:r>
            <w:r w:rsidR="004F0A44">
              <w:t>7</w:t>
            </w:r>
          </w:p>
        </w:tc>
      </w:tr>
      <w:tr w:rsidR="00526B91" w14:paraId="16B22736" w14:textId="77777777" w:rsidTr="00CB1929">
        <w:tc>
          <w:tcPr>
            <w:tcW w:w="2774" w:type="dxa"/>
          </w:tcPr>
          <w:p w14:paraId="51701BEC" w14:textId="77777777" w:rsidR="00526B91" w:rsidRDefault="00526B91" w:rsidP="004D17B6">
            <w:pPr>
              <w:jc w:val="center"/>
            </w:pPr>
            <w:r w:rsidRPr="0085503E">
              <w:t>NM_024127</w:t>
            </w:r>
          </w:p>
        </w:tc>
        <w:tc>
          <w:tcPr>
            <w:tcW w:w="2329" w:type="dxa"/>
          </w:tcPr>
          <w:p w14:paraId="54EBFE68" w14:textId="77777777" w:rsidR="00526B91" w:rsidRPr="00526B91" w:rsidRDefault="00526B91" w:rsidP="004D17B6">
            <w:pPr>
              <w:jc w:val="center"/>
              <w:rPr>
                <w:vertAlign w:val="superscript"/>
              </w:rPr>
            </w:pPr>
            <w:r>
              <w:t>1.68 x 10</w:t>
            </w:r>
            <w:r>
              <w:rPr>
                <w:vertAlign w:val="superscript"/>
              </w:rPr>
              <w:t>-44</w:t>
            </w:r>
          </w:p>
        </w:tc>
        <w:tc>
          <w:tcPr>
            <w:tcW w:w="2551" w:type="dxa"/>
          </w:tcPr>
          <w:p w14:paraId="7C8BB52B" w14:textId="4518C628" w:rsidR="00526B91" w:rsidRDefault="00526B91" w:rsidP="004D17B6">
            <w:pPr>
              <w:jc w:val="center"/>
            </w:pPr>
            <w:r>
              <w:t>2.54</w:t>
            </w:r>
            <w:r w:rsidR="004F0A44">
              <w:t>1</w:t>
            </w:r>
          </w:p>
        </w:tc>
      </w:tr>
      <w:tr w:rsidR="00526B91" w14:paraId="62C04BD7" w14:textId="77777777" w:rsidTr="00CB1929">
        <w:tc>
          <w:tcPr>
            <w:tcW w:w="2774" w:type="dxa"/>
          </w:tcPr>
          <w:p w14:paraId="4B970E5F" w14:textId="77777777" w:rsidR="00526B91" w:rsidRDefault="00526B91" w:rsidP="004D17B6">
            <w:pPr>
              <w:jc w:val="center"/>
            </w:pPr>
            <w:r w:rsidRPr="0085503E">
              <w:t>NM_053699</w:t>
            </w:r>
          </w:p>
        </w:tc>
        <w:tc>
          <w:tcPr>
            <w:tcW w:w="2329" w:type="dxa"/>
          </w:tcPr>
          <w:p w14:paraId="7D0F1E7C" w14:textId="77777777" w:rsidR="00526B91" w:rsidRDefault="00526B91" w:rsidP="004D17B6">
            <w:pPr>
              <w:jc w:val="center"/>
            </w:pPr>
            <w:r>
              <w:t>1.68 x 10</w:t>
            </w:r>
            <w:r>
              <w:rPr>
                <w:vertAlign w:val="superscript"/>
              </w:rPr>
              <w:t>-44</w:t>
            </w:r>
          </w:p>
        </w:tc>
        <w:tc>
          <w:tcPr>
            <w:tcW w:w="2551" w:type="dxa"/>
          </w:tcPr>
          <w:p w14:paraId="4811824B" w14:textId="6276D128" w:rsidR="00526B91" w:rsidRDefault="00526B91" w:rsidP="004D17B6">
            <w:pPr>
              <w:jc w:val="center"/>
            </w:pPr>
            <w:r>
              <w:t>5.07</w:t>
            </w:r>
            <w:r w:rsidR="004F0A44">
              <w:t>9</w:t>
            </w:r>
          </w:p>
        </w:tc>
      </w:tr>
      <w:tr w:rsidR="00526B91" w14:paraId="0DBB77D5" w14:textId="77777777" w:rsidTr="00CB1929">
        <w:tc>
          <w:tcPr>
            <w:tcW w:w="2774" w:type="dxa"/>
          </w:tcPr>
          <w:p w14:paraId="062A53B8" w14:textId="77777777" w:rsidR="00526B91" w:rsidRDefault="00526B91" w:rsidP="004D17B6">
            <w:pPr>
              <w:jc w:val="center"/>
            </w:pPr>
            <w:r w:rsidRPr="0085503E">
              <w:t>NM_031048</w:t>
            </w:r>
          </w:p>
        </w:tc>
        <w:tc>
          <w:tcPr>
            <w:tcW w:w="2329" w:type="dxa"/>
          </w:tcPr>
          <w:p w14:paraId="20DA80CE" w14:textId="77777777" w:rsidR="00526B91" w:rsidRPr="00526B91" w:rsidRDefault="00526B91" w:rsidP="004D17B6">
            <w:pPr>
              <w:jc w:val="center"/>
              <w:rPr>
                <w:vertAlign w:val="superscript"/>
              </w:rPr>
            </w:pPr>
            <w:r>
              <w:t>2.85 x 10</w:t>
            </w:r>
            <w:r>
              <w:rPr>
                <w:vertAlign w:val="superscript"/>
              </w:rPr>
              <w:t>-41</w:t>
            </w:r>
          </w:p>
        </w:tc>
        <w:tc>
          <w:tcPr>
            <w:tcW w:w="2551" w:type="dxa"/>
          </w:tcPr>
          <w:p w14:paraId="798C12D5" w14:textId="0342E991" w:rsidR="00526B91" w:rsidRDefault="00526B91" w:rsidP="004D17B6">
            <w:pPr>
              <w:jc w:val="center"/>
            </w:pPr>
            <w:r>
              <w:t>4.06</w:t>
            </w:r>
            <w:r w:rsidR="004F0A44">
              <w:t>9</w:t>
            </w:r>
          </w:p>
        </w:tc>
      </w:tr>
      <w:tr w:rsidR="00526B91" w14:paraId="01F3CD9E" w14:textId="77777777" w:rsidTr="00CB1929">
        <w:tc>
          <w:tcPr>
            <w:tcW w:w="2774" w:type="dxa"/>
          </w:tcPr>
          <w:p w14:paraId="6BF0E2FE" w14:textId="77777777" w:rsidR="00526B91" w:rsidRDefault="00526B91" w:rsidP="004D17B6">
            <w:pPr>
              <w:jc w:val="center"/>
            </w:pPr>
            <w:r w:rsidRPr="0085503E">
              <w:t>NM_013098</w:t>
            </w:r>
          </w:p>
        </w:tc>
        <w:tc>
          <w:tcPr>
            <w:tcW w:w="2329" w:type="dxa"/>
          </w:tcPr>
          <w:p w14:paraId="13412875" w14:textId="77777777" w:rsidR="00526B91" w:rsidRPr="00526B91" w:rsidRDefault="00526B91" w:rsidP="004D17B6">
            <w:pPr>
              <w:jc w:val="center"/>
              <w:rPr>
                <w:vertAlign w:val="superscript"/>
              </w:rPr>
            </w:pPr>
            <w:r>
              <w:t>1.14 x 10</w:t>
            </w:r>
            <w:r>
              <w:rPr>
                <w:vertAlign w:val="superscript"/>
              </w:rPr>
              <w:t>-39</w:t>
            </w:r>
          </w:p>
        </w:tc>
        <w:tc>
          <w:tcPr>
            <w:tcW w:w="2551" w:type="dxa"/>
          </w:tcPr>
          <w:p w14:paraId="45B9BF7C" w14:textId="390700B8" w:rsidR="00526B91" w:rsidRDefault="00526B91" w:rsidP="004D17B6">
            <w:pPr>
              <w:jc w:val="center"/>
            </w:pPr>
            <w:r>
              <w:t>-4.02</w:t>
            </w:r>
            <w:r w:rsidR="004F0A44">
              <w:t>8</w:t>
            </w:r>
          </w:p>
        </w:tc>
      </w:tr>
      <w:tr w:rsidR="00526B91" w14:paraId="515748D1" w14:textId="77777777" w:rsidTr="00CB1929">
        <w:tc>
          <w:tcPr>
            <w:tcW w:w="2774" w:type="dxa"/>
          </w:tcPr>
          <w:p w14:paraId="0123EA83" w14:textId="77777777" w:rsidR="00526B91" w:rsidRDefault="00526B91" w:rsidP="004D17B6">
            <w:pPr>
              <w:jc w:val="center"/>
            </w:pPr>
            <w:r w:rsidRPr="0085503E">
              <w:t>NM_017006</w:t>
            </w:r>
          </w:p>
        </w:tc>
        <w:tc>
          <w:tcPr>
            <w:tcW w:w="2329" w:type="dxa"/>
          </w:tcPr>
          <w:p w14:paraId="59E85B56" w14:textId="77777777" w:rsidR="00526B91" w:rsidRPr="00526B91" w:rsidRDefault="00526B91" w:rsidP="004D17B6">
            <w:pPr>
              <w:jc w:val="center"/>
              <w:rPr>
                <w:vertAlign w:val="superscript"/>
              </w:rPr>
            </w:pPr>
            <w:r>
              <w:t>4.39 x 10</w:t>
            </w:r>
            <w:r>
              <w:rPr>
                <w:vertAlign w:val="superscript"/>
              </w:rPr>
              <w:t>-39</w:t>
            </w:r>
          </w:p>
        </w:tc>
        <w:tc>
          <w:tcPr>
            <w:tcW w:w="2551" w:type="dxa"/>
          </w:tcPr>
          <w:p w14:paraId="4204E879" w14:textId="5CB370A8" w:rsidR="00526B91" w:rsidRDefault="00526B91" w:rsidP="004D17B6">
            <w:pPr>
              <w:jc w:val="center"/>
            </w:pPr>
            <w:r>
              <w:t>2.93</w:t>
            </w:r>
            <w:r w:rsidR="004F0A44">
              <w:t>5</w:t>
            </w:r>
          </w:p>
        </w:tc>
      </w:tr>
    </w:tbl>
    <w:p w14:paraId="15239144" w14:textId="04A1EC76" w:rsidR="00526B91" w:rsidRDefault="00526B91" w:rsidP="002C70D9">
      <w:pPr>
        <w:jc w:val="both"/>
        <w:rPr>
          <w:sz w:val="22"/>
          <w:szCs w:val="20"/>
        </w:rPr>
      </w:pPr>
      <w:r>
        <w:rPr>
          <w:sz w:val="22"/>
          <w:szCs w:val="20"/>
        </w:rPr>
        <w:t xml:space="preserve">Table </w:t>
      </w:r>
      <w:r w:rsidR="0057141E">
        <w:rPr>
          <w:sz w:val="22"/>
          <w:szCs w:val="20"/>
        </w:rPr>
        <w:t>4</w:t>
      </w:r>
      <w:r>
        <w:rPr>
          <w:sz w:val="22"/>
          <w:szCs w:val="20"/>
        </w:rPr>
        <w:t>: Top 10 differentially expressed genes for the CAR/PXR subgroup</w:t>
      </w:r>
    </w:p>
    <w:p w14:paraId="52F91606" w14:textId="615A9D9B" w:rsidR="0057141E" w:rsidRDefault="0030702D" w:rsidP="006778B3">
      <w:pPr>
        <w:ind w:firstLine="720"/>
        <w:jc w:val="both"/>
      </w:pPr>
      <w:r>
        <w:t>To visualize the distribution of the differentially expressed genes, plots were made for all three subgroups. First, histograms of the log2</w:t>
      </w:r>
      <w:r w:rsidR="008E0E8D">
        <w:t xml:space="preserve"> f</w:t>
      </w:r>
      <w:r>
        <w:t>old change values were made (Fig</w:t>
      </w:r>
      <w:r w:rsidR="006778B3">
        <w:t>.</w:t>
      </w:r>
      <w:r>
        <w:t xml:space="preserve"> 3).</w:t>
      </w:r>
      <w:r w:rsidR="000D4E3B">
        <w:t xml:space="preserve"> All three subgroups showed clear normal distribution of the log2 fold change values.</w:t>
      </w:r>
      <w:r>
        <w:t xml:space="preserve"> Next, a </w:t>
      </w:r>
      <w:r w:rsidR="006778B3">
        <w:t>volcano</w:t>
      </w:r>
      <w:r>
        <w:t xml:space="preserve"> plot was made of the log2Fold change value versus the adjust</w:t>
      </w:r>
      <w:r w:rsidR="00096E34">
        <w:t>ed</w:t>
      </w:r>
      <w:r>
        <w:t xml:space="preserve"> p-values (Fig</w:t>
      </w:r>
      <w:r w:rsidR="006778B3">
        <w:t>.</w:t>
      </w:r>
      <w:r>
        <w:t xml:space="preserve"> 4)</w:t>
      </w:r>
      <w:r w:rsidR="000D4E3B">
        <w:t>.</w:t>
      </w:r>
      <w:r>
        <w:t xml:space="preserve"> </w:t>
      </w:r>
      <w:r w:rsidR="00096E34">
        <w:t xml:space="preserve">It was observed that all the subgroups showed a number of genes that had log2 fold change values &gt;1.5. The AhR subgroup also appeared to have a lot of downregulated genes. </w:t>
      </w:r>
      <w:r w:rsidR="00563F92">
        <w:t xml:space="preserve">The distributions for the DNA damage subgroup </w:t>
      </w:r>
      <w:r w:rsidR="00293E5A">
        <w:t>are</w:t>
      </w:r>
      <w:r w:rsidR="00563F92">
        <w:t xml:space="preserve"> not as clear as a normal distribution but this is likely due to the lower </w:t>
      </w:r>
      <w:r w:rsidR="00293E5A">
        <w:t xml:space="preserve">number of significant DE genes. </w:t>
      </w:r>
    </w:p>
    <w:p w14:paraId="68189E44" w14:textId="7408B41F" w:rsidR="0030702D" w:rsidRDefault="00A924D4" w:rsidP="00293E5A">
      <w:pPr>
        <w:jc w:val="center"/>
      </w:pPr>
      <w:r>
        <w:rPr>
          <w:noProof/>
        </w:rPr>
        <w:lastRenderedPageBreak/>
        <w:drawing>
          <wp:inline distT="0" distB="0" distL="0" distR="0" wp14:anchorId="728ECC04" wp14:editId="6B35B01C">
            <wp:extent cx="1842712" cy="1359673"/>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1039" cy="1380574"/>
                    </a:xfrm>
                    <a:prstGeom prst="rect">
                      <a:avLst/>
                    </a:prstGeom>
                    <a:noFill/>
                    <a:ln>
                      <a:noFill/>
                    </a:ln>
                  </pic:spPr>
                </pic:pic>
              </a:graphicData>
            </a:graphic>
          </wp:inline>
        </w:drawing>
      </w:r>
      <w:r>
        <w:rPr>
          <w:noProof/>
        </w:rPr>
        <w:drawing>
          <wp:inline distT="0" distB="0" distL="0" distR="0" wp14:anchorId="48CBE0DB" wp14:editId="7E64AB20">
            <wp:extent cx="1852654" cy="136701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3019" cy="1382036"/>
                    </a:xfrm>
                    <a:prstGeom prst="rect">
                      <a:avLst/>
                    </a:prstGeom>
                    <a:noFill/>
                    <a:ln>
                      <a:noFill/>
                    </a:ln>
                  </pic:spPr>
                </pic:pic>
              </a:graphicData>
            </a:graphic>
          </wp:inline>
        </w:drawing>
      </w:r>
      <w:r w:rsidR="002E1359">
        <w:rPr>
          <w:noProof/>
        </w:rPr>
        <w:drawing>
          <wp:inline distT="0" distB="0" distL="0" distR="0" wp14:anchorId="57DE0946" wp14:editId="6EE0EF60">
            <wp:extent cx="1844703" cy="1361143"/>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9020" cy="1379085"/>
                    </a:xfrm>
                    <a:prstGeom prst="rect">
                      <a:avLst/>
                    </a:prstGeom>
                    <a:noFill/>
                    <a:ln>
                      <a:noFill/>
                    </a:ln>
                  </pic:spPr>
                </pic:pic>
              </a:graphicData>
            </a:graphic>
          </wp:inline>
        </w:drawing>
      </w:r>
    </w:p>
    <w:p w14:paraId="030F9469" w14:textId="27CAD25F" w:rsidR="00563F92" w:rsidRDefault="000D4E3B" w:rsidP="002C70D9">
      <w:pPr>
        <w:jc w:val="both"/>
        <w:rPr>
          <w:sz w:val="22"/>
          <w:szCs w:val="20"/>
        </w:rPr>
      </w:pPr>
      <w:r>
        <w:rPr>
          <w:sz w:val="22"/>
          <w:szCs w:val="20"/>
        </w:rPr>
        <w:t xml:space="preserve">Figure 3: Distribution of the Log2 Fold change values for the three subgroups. </w:t>
      </w:r>
      <w:r w:rsidR="002E1359">
        <w:rPr>
          <w:sz w:val="22"/>
          <w:szCs w:val="20"/>
        </w:rPr>
        <w:t xml:space="preserve">Fig. A- Histogram of the log2 fold change values of the DNA damage subgroup. Fig. B- Histogram of the log2 fold change values of the </w:t>
      </w:r>
      <w:r w:rsidR="00563F92">
        <w:rPr>
          <w:sz w:val="22"/>
          <w:szCs w:val="20"/>
        </w:rPr>
        <w:t>AhR subgroup. Fig. C- Histogram of the log2 fold change values of the CAR/PXR subgroup.</w:t>
      </w:r>
    </w:p>
    <w:p w14:paraId="00A5EA1D" w14:textId="08174F25" w:rsidR="00563F92" w:rsidRDefault="00D90F34" w:rsidP="00293E5A">
      <w:pPr>
        <w:jc w:val="center"/>
        <w:rPr>
          <w:sz w:val="22"/>
          <w:szCs w:val="20"/>
        </w:rPr>
      </w:pPr>
      <w:r>
        <w:rPr>
          <w:noProof/>
          <w:sz w:val="22"/>
          <w:szCs w:val="20"/>
        </w:rPr>
        <w:drawing>
          <wp:inline distT="0" distB="0" distL="0" distR="0" wp14:anchorId="79F4C000" wp14:editId="6953507B">
            <wp:extent cx="1877999" cy="1385710"/>
            <wp:effectExtent l="0" t="0" r="825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127" cy="1400562"/>
                    </a:xfrm>
                    <a:prstGeom prst="rect">
                      <a:avLst/>
                    </a:prstGeom>
                    <a:noFill/>
                    <a:ln>
                      <a:noFill/>
                    </a:ln>
                  </pic:spPr>
                </pic:pic>
              </a:graphicData>
            </a:graphic>
          </wp:inline>
        </w:drawing>
      </w:r>
      <w:r>
        <w:rPr>
          <w:noProof/>
          <w:sz w:val="22"/>
          <w:szCs w:val="20"/>
        </w:rPr>
        <w:drawing>
          <wp:inline distT="0" distB="0" distL="0" distR="0" wp14:anchorId="21B865EB" wp14:editId="04B4CED8">
            <wp:extent cx="1874255" cy="1382948"/>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1425" cy="1395617"/>
                    </a:xfrm>
                    <a:prstGeom prst="rect">
                      <a:avLst/>
                    </a:prstGeom>
                    <a:noFill/>
                    <a:ln>
                      <a:noFill/>
                    </a:ln>
                  </pic:spPr>
                </pic:pic>
              </a:graphicData>
            </a:graphic>
          </wp:inline>
        </w:drawing>
      </w:r>
      <w:r>
        <w:rPr>
          <w:noProof/>
          <w:sz w:val="22"/>
          <w:szCs w:val="20"/>
        </w:rPr>
        <w:drawing>
          <wp:inline distT="0" distB="0" distL="0" distR="0" wp14:anchorId="629CBFEF" wp14:editId="7EEC7D0A">
            <wp:extent cx="1892410" cy="1396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5816" cy="1413616"/>
                    </a:xfrm>
                    <a:prstGeom prst="rect">
                      <a:avLst/>
                    </a:prstGeom>
                    <a:noFill/>
                    <a:ln>
                      <a:noFill/>
                    </a:ln>
                  </pic:spPr>
                </pic:pic>
              </a:graphicData>
            </a:graphic>
          </wp:inline>
        </w:drawing>
      </w:r>
    </w:p>
    <w:p w14:paraId="102F239F" w14:textId="007C8097" w:rsidR="00293E5A" w:rsidRDefault="00C22DA1" w:rsidP="00293E5A">
      <w:pPr>
        <w:rPr>
          <w:sz w:val="22"/>
          <w:szCs w:val="20"/>
        </w:rPr>
      </w:pPr>
      <w:r>
        <w:rPr>
          <w:sz w:val="22"/>
          <w:szCs w:val="20"/>
        </w:rPr>
        <w:t>Figure</w:t>
      </w:r>
      <w:r w:rsidR="00D90F34">
        <w:rPr>
          <w:sz w:val="22"/>
          <w:szCs w:val="20"/>
        </w:rPr>
        <w:t xml:space="preserve"> 4: Volcano plots showing distribution of Adjusted P values. Fig A. Distribution of the DNA damage subgroup. Fig. B. Distribution of AhR subgroup. Fig. C. Distribution of CAR/PXR subgroup.</w:t>
      </w:r>
    </w:p>
    <w:p w14:paraId="435DD83A" w14:textId="077F7D2E" w:rsidR="006778B3" w:rsidRPr="00CD59C9" w:rsidRDefault="0096665A" w:rsidP="00CD59C9">
      <w:pPr>
        <w:ind w:firstLine="720"/>
        <w:jc w:val="both"/>
      </w:pPr>
      <w:r>
        <w:t xml:space="preserve">The </w:t>
      </w:r>
      <w:r w:rsidR="002B22E4">
        <w:t>results of the DAVID analysis are summarized below in the tables 5 to 7. The DNA damage, AhR, CAR/PXR subgroups produced 22,</w:t>
      </w:r>
      <w:r w:rsidR="00382FBF">
        <w:t>190 and</w:t>
      </w:r>
      <w:r w:rsidR="002B22E4">
        <w:t xml:space="preserve"> </w:t>
      </w:r>
      <w:r w:rsidR="0046775F">
        <w:t xml:space="preserve">378 </w:t>
      </w:r>
      <w:r w:rsidR="002B22E4">
        <w:t>clusters respectively. However, for b</w:t>
      </w:r>
      <w:r w:rsidR="002B22E4">
        <w:t>revity</w:t>
      </w:r>
      <w:r w:rsidR="002B22E4">
        <w:t xml:space="preserve">, the tables only show the top 10 sorted based on the </w:t>
      </w:r>
      <w:r w:rsidR="00C101C7">
        <w:t>enrichment scores</w:t>
      </w:r>
      <w:r w:rsidR="002B22E4">
        <w:t xml:space="preserve">. </w:t>
      </w:r>
      <w:r w:rsidR="00CD59C9">
        <w:t xml:space="preserve">From the DNA damage subgroups, Wang </w:t>
      </w:r>
      <w:r w:rsidR="00CD59C9">
        <w:rPr>
          <w:i/>
          <w:iCs/>
        </w:rPr>
        <w:t>et al.</w:t>
      </w:r>
      <w:r w:rsidR="00CD59C9">
        <w:t xml:space="preserve"> had only two common pathways enriched in both microarrays and RNA-Seq. Of these two, one of them (cell cycle) was found to be enriched in my results as well.</w:t>
      </w:r>
      <w:r w:rsidR="0057048D">
        <w:t xml:space="preserve"> The other pathways in Table 5 are also involved in cell cycle.</w:t>
      </w:r>
      <w:r w:rsidR="00CD59C9">
        <w:t xml:space="preserve"> </w:t>
      </w:r>
      <w:r w:rsidR="008C2F1F">
        <w:t xml:space="preserve">However, no </w:t>
      </w:r>
      <w:r w:rsidR="008E0E8D">
        <w:t xml:space="preserve">direct </w:t>
      </w:r>
      <w:r w:rsidR="008C2F1F">
        <w:t xml:space="preserve">overlaps were observed in the AhR </w:t>
      </w:r>
      <w:r w:rsidR="00096E34">
        <w:t xml:space="preserve">and CAR/PXR </w:t>
      </w:r>
      <w:r w:rsidR="008C2F1F">
        <w:t>subgroup</w:t>
      </w:r>
      <w:r w:rsidR="00096E34">
        <w:t>s</w:t>
      </w:r>
      <w:r w:rsidR="008C2F1F">
        <w:t>.</w:t>
      </w:r>
      <w:r w:rsidR="00096E34">
        <w:t xml:space="preserve"> The closest potential pathway overlap observed in the CAR/PXR subgroup was between Drug metabolism in my result</w:t>
      </w:r>
      <w:r w:rsidR="00E0219E">
        <w:t>s</w:t>
      </w:r>
      <w:r w:rsidR="00096E34">
        <w:t xml:space="preserve"> and Nicotine degradation II in theirs. </w:t>
      </w:r>
      <w:r w:rsidR="00590236">
        <w:t xml:space="preserve">The differences in results can likely be explained by the difference in the software </w:t>
      </w:r>
      <w:r w:rsidR="00314BDA">
        <w:t xml:space="preserve">and the annotation categories </w:t>
      </w:r>
      <w:r w:rsidR="00590236">
        <w:t xml:space="preserve">used for functional annotation. </w:t>
      </w:r>
    </w:p>
    <w:tbl>
      <w:tblPr>
        <w:tblStyle w:val="TableGrid"/>
        <w:tblW w:w="0" w:type="auto"/>
        <w:tblLook w:val="04A0" w:firstRow="1" w:lastRow="0" w:firstColumn="1" w:lastColumn="0" w:noHBand="0" w:noVBand="1"/>
      </w:tblPr>
      <w:tblGrid>
        <w:gridCol w:w="1980"/>
        <w:gridCol w:w="2528"/>
        <w:gridCol w:w="1157"/>
        <w:gridCol w:w="3351"/>
      </w:tblGrid>
      <w:tr w:rsidR="002B22E4" w14:paraId="47D7250C" w14:textId="77777777" w:rsidTr="00C101C7">
        <w:tc>
          <w:tcPr>
            <w:tcW w:w="1980" w:type="dxa"/>
          </w:tcPr>
          <w:p w14:paraId="3289E630" w14:textId="3FBFAEE9" w:rsidR="002B22E4" w:rsidRPr="002B22E4" w:rsidRDefault="002B22E4" w:rsidP="002B22E4">
            <w:pPr>
              <w:jc w:val="center"/>
              <w:rPr>
                <w:b/>
                <w:bCs/>
              </w:rPr>
            </w:pPr>
            <w:r>
              <w:rPr>
                <w:b/>
                <w:bCs/>
              </w:rPr>
              <w:t>Cluster Term</w:t>
            </w:r>
          </w:p>
        </w:tc>
        <w:tc>
          <w:tcPr>
            <w:tcW w:w="2528" w:type="dxa"/>
          </w:tcPr>
          <w:p w14:paraId="6F5088A4" w14:textId="1710535E" w:rsidR="002B22E4" w:rsidRPr="002B22E4" w:rsidRDefault="002B22E4" w:rsidP="002B22E4">
            <w:pPr>
              <w:jc w:val="center"/>
              <w:rPr>
                <w:b/>
                <w:bCs/>
              </w:rPr>
            </w:pPr>
            <w:r>
              <w:rPr>
                <w:b/>
                <w:bCs/>
              </w:rPr>
              <w:t>Enrichment Score</w:t>
            </w:r>
          </w:p>
        </w:tc>
        <w:tc>
          <w:tcPr>
            <w:tcW w:w="1157" w:type="dxa"/>
          </w:tcPr>
          <w:p w14:paraId="7F96E72C" w14:textId="77960970" w:rsidR="002B22E4" w:rsidRPr="002B22E4" w:rsidRDefault="00C101C7" w:rsidP="002B22E4">
            <w:pPr>
              <w:jc w:val="center"/>
              <w:rPr>
                <w:b/>
                <w:bCs/>
              </w:rPr>
            </w:pPr>
            <w:r>
              <w:rPr>
                <w:b/>
                <w:bCs/>
              </w:rPr>
              <w:t>Count</w:t>
            </w:r>
          </w:p>
        </w:tc>
        <w:tc>
          <w:tcPr>
            <w:tcW w:w="3351" w:type="dxa"/>
          </w:tcPr>
          <w:p w14:paraId="5B2F7CE4" w14:textId="2D5EE0BF" w:rsidR="002B22E4" w:rsidRPr="002B22E4" w:rsidRDefault="00C101C7" w:rsidP="002B22E4">
            <w:pPr>
              <w:jc w:val="center"/>
              <w:rPr>
                <w:b/>
                <w:bCs/>
              </w:rPr>
            </w:pPr>
            <w:r>
              <w:rPr>
                <w:b/>
                <w:bCs/>
              </w:rPr>
              <w:t>Benjamini corrected p-value</w:t>
            </w:r>
          </w:p>
        </w:tc>
      </w:tr>
      <w:tr w:rsidR="002B22E4" w14:paraId="7B950DDD" w14:textId="77777777" w:rsidTr="00C101C7">
        <w:tc>
          <w:tcPr>
            <w:tcW w:w="1980" w:type="dxa"/>
          </w:tcPr>
          <w:p w14:paraId="23B51E9E" w14:textId="16226A4E" w:rsidR="002B22E4" w:rsidRDefault="00C101C7" w:rsidP="002B22E4">
            <w:pPr>
              <w:jc w:val="center"/>
            </w:pPr>
            <w:r>
              <w:t>Microtubule binding</w:t>
            </w:r>
          </w:p>
        </w:tc>
        <w:tc>
          <w:tcPr>
            <w:tcW w:w="2528" w:type="dxa"/>
          </w:tcPr>
          <w:p w14:paraId="76646465" w14:textId="0D9EF7EE" w:rsidR="002B22E4" w:rsidRDefault="00C101C7" w:rsidP="002B22E4">
            <w:pPr>
              <w:jc w:val="center"/>
            </w:pPr>
            <w:r>
              <w:t>3.97</w:t>
            </w:r>
          </w:p>
        </w:tc>
        <w:tc>
          <w:tcPr>
            <w:tcW w:w="1157" w:type="dxa"/>
          </w:tcPr>
          <w:p w14:paraId="046C5E19" w14:textId="01C6D4D6" w:rsidR="002B22E4" w:rsidRDefault="00C101C7" w:rsidP="002B22E4">
            <w:pPr>
              <w:jc w:val="center"/>
            </w:pPr>
            <w:r>
              <w:t>10</w:t>
            </w:r>
          </w:p>
        </w:tc>
        <w:tc>
          <w:tcPr>
            <w:tcW w:w="3351" w:type="dxa"/>
          </w:tcPr>
          <w:p w14:paraId="4C628BAB" w14:textId="14504DC7" w:rsidR="002B22E4" w:rsidRPr="00C101C7" w:rsidRDefault="00C101C7" w:rsidP="002B22E4">
            <w:pPr>
              <w:jc w:val="center"/>
              <w:rPr>
                <w:vertAlign w:val="superscript"/>
              </w:rPr>
            </w:pPr>
            <w:r>
              <w:t>3.5 x 10</w:t>
            </w:r>
            <w:r>
              <w:rPr>
                <w:vertAlign w:val="superscript"/>
              </w:rPr>
              <w:t>-4</w:t>
            </w:r>
          </w:p>
        </w:tc>
      </w:tr>
      <w:tr w:rsidR="002B22E4" w14:paraId="450E53EC" w14:textId="77777777" w:rsidTr="00C101C7">
        <w:tc>
          <w:tcPr>
            <w:tcW w:w="1980" w:type="dxa"/>
          </w:tcPr>
          <w:p w14:paraId="2041C2F6" w14:textId="482EDD0A" w:rsidR="002B22E4" w:rsidRDefault="00C101C7" w:rsidP="002B22E4">
            <w:pPr>
              <w:jc w:val="center"/>
            </w:pPr>
            <w:r>
              <w:t>Erythrocyte development</w:t>
            </w:r>
          </w:p>
        </w:tc>
        <w:tc>
          <w:tcPr>
            <w:tcW w:w="2528" w:type="dxa"/>
          </w:tcPr>
          <w:p w14:paraId="15E10B98" w14:textId="68845FC7" w:rsidR="002B22E4" w:rsidRDefault="00C101C7" w:rsidP="002B22E4">
            <w:pPr>
              <w:jc w:val="center"/>
            </w:pPr>
            <w:r>
              <w:t>3.28</w:t>
            </w:r>
          </w:p>
        </w:tc>
        <w:tc>
          <w:tcPr>
            <w:tcW w:w="1157" w:type="dxa"/>
          </w:tcPr>
          <w:p w14:paraId="758690D8" w14:textId="3347E1BD" w:rsidR="002B22E4" w:rsidRDefault="00C101C7" w:rsidP="002B22E4">
            <w:pPr>
              <w:jc w:val="center"/>
            </w:pPr>
            <w:r>
              <w:t>6</w:t>
            </w:r>
          </w:p>
        </w:tc>
        <w:tc>
          <w:tcPr>
            <w:tcW w:w="3351" w:type="dxa"/>
          </w:tcPr>
          <w:p w14:paraId="466FAB60" w14:textId="6DD76C83" w:rsidR="002B22E4" w:rsidRPr="00C101C7" w:rsidRDefault="00C101C7" w:rsidP="002B22E4">
            <w:pPr>
              <w:jc w:val="center"/>
              <w:rPr>
                <w:vertAlign w:val="superscript"/>
              </w:rPr>
            </w:pPr>
            <w:r>
              <w:t>1.5 x 10</w:t>
            </w:r>
            <w:r>
              <w:rPr>
                <w:vertAlign w:val="superscript"/>
              </w:rPr>
              <w:t>-4</w:t>
            </w:r>
          </w:p>
        </w:tc>
      </w:tr>
      <w:tr w:rsidR="002B22E4" w14:paraId="3AD81327" w14:textId="77777777" w:rsidTr="00C101C7">
        <w:tc>
          <w:tcPr>
            <w:tcW w:w="1980" w:type="dxa"/>
          </w:tcPr>
          <w:p w14:paraId="51B65A9A" w14:textId="5A1F5CFE" w:rsidR="002B22E4" w:rsidRDefault="00C101C7" w:rsidP="002B22E4">
            <w:pPr>
              <w:jc w:val="center"/>
            </w:pPr>
            <w:r>
              <w:t>Cell cycle</w:t>
            </w:r>
          </w:p>
        </w:tc>
        <w:tc>
          <w:tcPr>
            <w:tcW w:w="2528" w:type="dxa"/>
          </w:tcPr>
          <w:p w14:paraId="5BBEA5ED" w14:textId="4C57DEBA" w:rsidR="002B22E4" w:rsidRDefault="00C101C7" w:rsidP="002B22E4">
            <w:pPr>
              <w:jc w:val="center"/>
            </w:pPr>
            <w:r>
              <w:t>3.27</w:t>
            </w:r>
          </w:p>
        </w:tc>
        <w:tc>
          <w:tcPr>
            <w:tcW w:w="1157" w:type="dxa"/>
          </w:tcPr>
          <w:p w14:paraId="3BF06916" w14:textId="771B86FC" w:rsidR="002B22E4" w:rsidRDefault="00C101C7" w:rsidP="002B22E4">
            <w:pPr>
              <w:jc w:val="center"/>
            </w:pPr>
            <w:r>
              <w:t>15</w:t>
            </w:r>
          </w:p>
        </w:tc>
        <w:tc>
          <w:tcPr>
            <w:tcW w:w="3351" w:type="dxa"/>
          </w:tcPr>
          <w:p w14:paraId="10FC51BA" w14:textId="66048F6F" w:rsidR="002B22E4" w:rsidRPr="00C101C7" w:rsidRDefault="00C101C7" w:rsidP="002B22E4">
            <w:pPr>
              <w:jc w:val="center"/>
              <w:rPr>
                <w:vertAlign w:val="superscript"/>
              </w:rPr>
            </w:pPr>
            <w:r>
              <w:t>7.5 x 10</w:t>
            </w:r>
            <w:r>
              <w:rPr>
                <w:vertAlign w:val="superscript"/>
              </w:rPr>
              <w:t>-7</w:t>
            </w:r>
          </w:p>
        </w:tc>
      </w:tr>
      <w:tr w:rsidR="002B22E4" w14:paraId="29617542" w14:textId="77777777" w:rsidTr="00C101C7">
        <w:tc>
          <w:tcPr>
            <w:tcW w:w="1980" w:type="dxa"/>
          </w:tcPr>
          <w:p w14:paraId="0E639D0E" w14:textId="5472B9B1" w:rsidR="002B22E4" w:rsidRDefault="00C101C7" w:rsidP="002B22E4">
            <w:pPr>
              <w:jc w:val="center"/>
            </w:pPr>
            <w:r>
              <w:t>ATP binding</w:t>
            </w:r>
          </w:p>
        </w:tc>
        <w:tc>
          <w:tcPr>
            <w:tcW w:w="2528" w:type="dxa"/>
          </w:tcPr>
          <w:p w14:paraId="1E8CEC6B" w14:textId="7271E81F" w:rsidR="002B22E4" w:rsidRDefault="00C101C7" w:rsidP="002B22E4">
            <w:pPr>
              <w:jc w:val="center"/>
            </w:pPr>
            <w:r>
              <w:t>3.13</w:t>
            </w:r>
          </w:p>
        </w:tc>
        <w:tc>
          <w:tcPr>
            <w:tcW w:w="1157" w:type="dxa"/>
          </w:tcPr>
          <w:p w14:paraId="1F567F8B" w14:textId="186F7A91" w:rsidR="002B22E4" w:rsidRDefault="00C101C7" w:rsidP="002B22E4">
            <w:pPr>
              <w:jc w:val="center"/>
            </w:pPr>
            <w:r>
              <w:t>22</w:t>
            </w:r>
          </w:p>
        </w:tc>
        <w:tc>
          <w:tcPr>
            <w:tcW w:w="3351" w:type="dxa"/>
          </w:tcPr>
          <w:p w14:paraId="5467B396" w14:textId="3203CF27" w:rsidR="002B22E4" w:rsidRPr="00C101C7" w:rsidRDefault="00C101C7" w:rsidP="002B22E4">
            <w:pPr>
              <w:jc w:val="center"/>
              <w:rPr>
                <w:vertAlign w:val="superscript"/>
              </w:rPr>
            </w:pPr>
            <w:r>
              <w:t>2.5 x 10</w:t>
            </w:r>
            <w:r>
              <w:rPr>
                <w:vertAlign w:val="superscript"/>
              </w:rPr>
              <w:t>-4</w:t>
            </w:r>
          </w:p>
        </w:tc>
      </w:tr>
      <w:tr w:rsidR="002B22E4" w14:paraId="2E8C5C67" w14:textId="77777777" w:rsidTr="00C101C7">
        <w:tc>
          <w:tcPr>
            <w:tcW w:w="1980" w:type="dxa"/>
          </w:tcPr>
          <w:p w14:paraId="1ADC30CE" w14:textId="064F3916" w:rsidR="002B22E4" w:rsidRDefault="00C101C7" w:rsidP="002B22E4">
            <w:pPr>
              <w:jc w:val="center"/>
            </w:pPr>
            <w:r>
              <w:t>Cellular response to bile acid</w:t>
            </w:r>
          </w:p>
        </w:tc>
        <w:tc>
          <w:tcPr>
            <w:tcW w:w="2528" w:type="dxa"/>
          </w:tcPr>
          <w:p w14:paraId="0C4921C9" w14:textId="059657C6" w:rsidR="002B22E4" w:rsidRDefault="00C101C7" w:rsidP="002B22E4">
            <w:pPr>
              <w:jc w:val="center"/>
            </w:pPr>
            <w:r>
              <w:t>2.88</w:t>
            </w:r>
          </w:p>
        </w:tc>
        <w:tc>
          <w:tcPr>
            <w:tcW w:w="1157" w:type="dxa"/>
          </w:tcPr>
          <w:p w14:paraId="6CA1D26A" w14:textId="73B1EFEA" w:rsidR="002B22E4" w:rsidRDefault="00C101C7" w:rsidP="002B22E4">
            <w:pPr>
              <w:jc w:val="center"/>
            </w:pPr>
            <w:r>
              <w:t>3</w:t>
            </w:r>
          </w:p>
        </w:tc>
        <w:tc>
          <w:tcPr>
            <w:tcW w:w="3351" w:type="dxa"/>
          </w:tcPr>
          <w:p w14:paraId="171227C5" w14:textId="78C25649" w:rsidR="002B22E4" w:rsidRPr="00C101C7" w:rsidRDefault="00C101C7" w:rsidP="002B22E4">
            <w:pPr>
              <w:jc w:val="center"/>
              <w:rPr>
                <w:vertAlign w:val="superscript"/>
              </w:rPr>
            </w:pPr>
            <w:r>
              <w:t>3.5 x 10</w:t>
            </w:r>
            <w:r>
              <w:rPr>
                <w:vertAlign w:val="superscript"/>
              </w:rPr>
              <w:t>-2</w:t>
            </w:r>
          </w:p>
        </w:tc>
      </w:tr>
      <w:tr w:rsidR="002B22E4" w14:paraId="008DBE7A" w14:textId="77777777" w:rsidTr="00C101C7">
        <w:tc>
          <w:tcPr>
            <w:tcW w:w="1980" w:type="dxa"/>
          </w:tcPr>
          <w:p w14:paraId="59C198DC" w14:textId="6AE6CF03" w:rsidR="002B22E4" w:rsidRDefault="00C101C7" w:rsidP="002B22E4">
            <w:pPr>
              <w:jc w:val="center"/>
            </w:pPr>
            <w:r>
              <w:t>Condensed chromosome</w:t>
            </w:r>
          </w:p>
        </w:tc>
        <w:tc>
          <w:tcPr>
            <w:tcW w:w="2528" w:type="dxa"/>
          </w:tcPr>
          <w:p w14:paraId="731207A9" w14:textId="45D818B9" w:rsidR="002B22E4" w:rsidRDefault="00C101C7" w:rsidP="002B22E4">
            <w:pPr>
              <w:jc w:val="center"/>
            </w:pPr>
            <w:r>
              <w:t>2.34</w:t>
            </w:r>
          </w:p>
        </w:tc>
        <w:tc>
          <w:tcPr>
            <w:tcW w:w="1157" w:type="dxa"/>
          </w:tcPr>
          <w:p w14:paraId="15BCD323" w14:textId="0E39571D" w:rsidR="002B22E4" w:rsidRDefault="00C101C7" w:rsidP="002B22E4">
            <w:pPr>
              <w:jc w:val="center"/>
            </w:pPr>
            <w:r>
              <w:t>5</w:t>
            </w:r>
          </w:p>
        </w:tc>
        <w:tc>
          <w:tcPr>
            <w:tcW w:w="3351" w:type="dxa"/>
          </w:tcPr>
          <w:p w14:paraId="07FC9932" w14:textId="656B481E" w:rsidR="002B22E4" w:rsidRPr="00C101C7" w:rsidRDefault="00C101C7" w:rsidP="002B22E4">
            <w:pPr>
              <w:jc w:val="center"/>
              <w:rPr>
                <w:vertAlign w:val="superscript"/>
              </w:rPr>
            </w:pPr>
            <w:r>
              <w:t>7.1 x 10</w:t>
            </w:r>
            <w:r>
              <w:rPr>
                <w:vertAlign w:val="superscript"/>
              </w:rPr>
              <w:t>-4</w:t>
            </w:r>
          </w:p>
        </w:tc>
      </w:tr>
      <w:tr w:rsidR="002B22E4" w14:paraId="3A80174E" w14:textId="77777777" w:rsidTr="00C101C7">
        <w:tc>
          <w:tcPr>
            <w:tcW w:w="1980" w:type="dxa"/>
          </w:tcPr>
          <w:p w14:paraId="58D10158" w14:textId="5FF43150" w:rsidR="002B22E4" w:rsidRDefault="00C101C7" w:rsidP="002B22E4">
            <w:pPr>
              <w:jc w:val="center"/>
            </w:pPr>
            <w:r>
              <w:t>Cell division</w:t>
            </w:r>
          </w:p>
        </w:tc>
        <w:tc>
          <w:tcPr>
            <w:tcW w:w="2528" w:type="dxa"/>
          </w:tcPr>
          <w:p w14:paraId="652D818E" w14:textId="77799222" w:rsidR="002B22E4" w:rsidRDefault="00C101C7" w:rsidP="002B22E4">
            <w:pPr>
              <w:jc w:val="center"/>
            </w:pPr>
            <w:r>
              <w:t>1.94</w:t>
            </w:r>
          </w:p>
        </w:tc>
        <w:tc>
          <w:tcPr>
            <w:tcW w:w="1157" w:type="dxa"/>
          </w:tcPr>
          <w:p w14:paraId="1DD0222B" w14:textId="0DE8293A" w:rsidR="002B22E4" w:rsidRDefault="00C101C7" w:rsidP="002B22E4">
            <w:pPr>
              <w:jc w:val="center"/>
            </w:pPr>
            <w:r>
              <w:t>7</w:t>
            </w:r>
          </w:p>
        </w:tc>
        <w:tc>
          <w:tcPr>
            <w:tcW w:w="3351" w:type="dxa"/>
          </w:tcPr>
          <w:p w14:paraId="54BB8F95" w14:textId="1768D309" w:rsidR="002B22E4" w:rsidRPr="00C101C7" w:rsidRDefault="00C101C7" w:rsidP="002B22E4">
            <w:pPr>
              <w:jc w:val="center"/>
              <w:rPr>
                <w:vertAlign w:val="superscript"/>
              </w:rPr>
            </w:pPr>
            <w:r>
              <w:t>2.8 x 10</w:t>
            </w:r>
            <w:r>
              <w:rPr>
                <w:vertAlign w:val="superscript"/>
              </w:rPr>
              <w:t>-2</w:t>
            </w:r>
          </w:p>
        </w:tc>
      </w:tr>
      <w:tr w:rsidR="002B22E4" w14:paraId="0338E3AC" w14:textId="77777777" w:rsidTr="00C101C7">
        <w:tc>
          <w:tcPr>
            <w:tcW w:w="1980" w:type="dxa"/>
          </w:tcPr>
          <w:p w14:paraId="5F0ACC72" w14:textId="0CBD83F5" w:rsidR="002B22E4" w:rsidRDefault="00C101C7" w:rsidP="002B22E4">
            <w:pPr>
              <w:jc w:val="center"/>
            </w:pPr>
            <w:r>
              <w:t>Substrate binding</w:t>
            </w:r>
          </w:p>
        </w:tc>
        <w:tc>
          <w:tcPr>
            <w:tcW w:w="2528" w:type="dxa"/>
          </w:tcPr>
          <w:p w14:paraId="3C522BB3" w14:textId="08D7CA11" w:rsidR="002B22E4" w:rsidRDefault="00C101C7" w:rsidP="002B22E4">
            <w:pPr>
              <w:jc w:val="center"/>
            </w:pPr>
            <w:r>
              <w:t>1.91</w:t>
            </w:r>
          </w:p>
        </w:tc>
        <w:tc>
          <w:tcPr>
            <w:tcW w:w="1157" w:type="dxa"/>
          </w:tcPr>
          <w:p w14:paraId="3763364A" w14:textId="596FA4DF" w:rsidR="002B22E4" w:rsidRDefault="00C101C7" w:rsidP="002B22E4">
            <w:pPr>
              <w:jc w:val="center"/>
            </w:pPr>
            <w:r>
              <w:t>8</w:t>
            </w:r>
          </w:p>
        </w:tc>
        <w:tc>
          <w:tcPr>
            <w:tcW w:w="3351" w:type="dxa"/>
          </w:tcPr>
          <w:p w14:paraId="74267A90" w14:textId="1C746C05" w:rsidR="002B22E4" w:rsidRPr="00C101C7" w:rsidRDefault="00C101C7" w:rsidP="002B22E4">
            <w:pPr>
              <w:jc w:val="center"/>
              <w:rPr>
                <w:vertAlign w:val="superscript"/>
              </w:rPr>
            </w:pPr>
            <w:r>
              <w:t>6.3 x 10</w:t>
            </w:r>
            <w:r>
              <w:rPr>
                <w:vertAlign w:val="superscript"/>
              </w:rPr>
              <w:t>-2</w:t>
            </w:r>
          </w:p>
        </w:tc>
      </w:tr>
      <w:tr w:rsidR="002B22E4" w14:paraId="59EE32A4" w14:textId="77777777" w:rsidTr="00C101C7">
        <w:tc>
          <w:tcPr>
            <w:tcW w:w="1980" w:type="dxa"/>
          </w:tcPr>
          <w:p w14:paraId="3882EC9D" w14:textId="0BF9A73E" w:rsidR="002B22E4" w:rsidRDefault="00C101C7" w:rsidP="002B22E4">
            <w:pPr>
              <w:jc w:val="center"/>
            </w:pPr>
            <w:r>
              <w:t>Response to drug</w:t>
            </w:r>
          </w:p>
        </w:tc>
        <w:tc>
          <w:tcPr>
            <w:tcW w:w="2528" w:type="dxa"/>
          </w:tcPr>
          <w:p w14:paraId="11BC268C" w14:textId="5C7B856E" w:rsidR="002B22E4" w:rsidRDefault="00C101C7" w:rsidP="002B22E4">
            <w:pPr>
              <w:jc w:val="center"/>
            </w:pPr>
            <w:r>
              <w:t>1.54</w:t>
            </w:r>
          </w:p>
        </w:tc>
        <w:tc>
          <w:tcPr>
            <w:tcW w:w="1157" w:type="dxa"/>
          </w:tcPr>
          <w:p w14:paraId="7A1F755D" w14:textId="09BAAA66" w:rsidR="002B22E4" w:rsidRDefault="00C101C7" w:rsidP="002B22E4">
            <w:pPr>
              <w:jc w:val="center"/>
            </w:pPr>
            <w:r>
              <w:t>8</w:t>
            </w:r>
          </w:p>
        </w:tc>
        <w:tc>
          <w:tcPr>
            <w:tcW w:w="3351" w:type="dxa"/>
          </w:tcPr>
          <w:p w14:paraId="23E66CF2" w14:textId="78F11B07" w:rsidR="002B22E4" w:rsidRPr="00C101C7" w:rsidRDefault="00C101C7" w:rsidP="002B22E4">
            <w:pPr>
              <w:jc w:val="center"/>
              <w:rPr>
                <w:vertAlign w:val="superscript"/>
              </w:rPr>
            </w:pPr>
            <w:r>
              <w:t>1.9 x 10</w:t>
            </w:r>
            <w:r>
              <w:rPr>
                <w:vertAlign w:val="superscript"/>
              </w:rPr>
              <w:t>-1</w:t>
            </w:r>
          </w:p>
        </w:tc>
      </w:tr>
      <w:tr w:rsidR="002B22E4" w14:paraId="0A985B86" w14:textId="77777777" w:rsidTr="00C101C7">
        <w:tc>
          <w:tcPr>
            <w:tcW w:w="1980" w:type="dxa"/>
          </w:tcPr>
          <w:p w14:paraId="2219964C" w14:textId="7B7A8C13" w:rsidR="002B22E4" w:rsidRDefault="00382FBF" w:rsidP="002B22E4">
            <w:pPr>
              <w:jc w:val="center"/>
            </w:pPr>
            <w:r>
              <w:lastRenderedPageBreak/>
              <w:t>Transcription regulation</w:t>
            </w:r>
          </w:p>
        </w:tc>
        <w:tc>
          <w:tcPr>
            <w:tcW w:w="2528" w:type="dxa"/>
          </w:tcPr>
          <w:p w14:paraId="4AA7977C" w14:textId="5DF0EDD6" w:rsidR="002B22E4" w:rsidRDefault="00382FBF" w:rsidP="002B22E4">
            <w:pPr>
              <w:jc w:val="center"/>
            </w:pPr>
            <w:r>
              <w:t>1.29</w:t>
            </w:r>
          </w:p>
        </w:tc>
        <w:tc>
          <w:tcPr>
            <w:tcW w:w="1157" w:type="dxa"/>
          </w:tcPr>
          <w:p w14:paraId="1A6B3A87" w14:textId="1C8496C2" w:rsidR="002B22E4" w:rsidRDefault="00382FBF" w:rsidP="002B22E4">
            <w:pPr>
              <w:jc w:val="center"/>
            </w:pPr>
            <w:r>
              <w:t>12</w:t>
            </w:r>
          </w:p>
        </w:tc>
        <w:tc>
          <w:tcPr>
            <w:tcW w:w="3351" w:type="dxa"/>
          </w:tcPr>
          <w:p w14:paraId="1EB115A7" w14:textId="79169D14" w:rsidR="002B22E4" w:rsidRPr="00382FBF" w:rsidRDefault="00382FBF" w:rsidP="002B22E4">
            <w:pPr>
              <w:jc w:val="center"/>
              <w:rPr>
                <w:vertAlign w:val="superscript"/>
              </w:rPr>
            </w:pPr>
            <w:r>
              <w:t>9 x 10</w:t>
            </w:r>
            <w:r>
              <w:rPr>
                <w:vertAlign w:val="superscript"/>
              </w:rPr>
              <w:t>-2</w:t>
            </w:r>
          </w:p>
        </w:tc>
      </w:tr>
    </w:tbl>
    <w:p w14:paraId="2B55E735" w14:textId="2A293638" w:rsidR="002B22E4" w:rsidRDefault="00382FBF" w:rsidP="00293E5A">
      <w:pPr>
        <w:rPr>
          <w:sz w:val="22"/>
          <w:szCs w:val="20"/>
        </w:rPr>
      </w:pPr>
      <w:r>
        <w:rPr>
          <w:sz w:val="22"/>
          <w:szCs w:val="20"/>
        </w:rPr>
        <w:t>Table 5: Summarized table of the functionally enriched pathways as produced by DAVID for the DNA damage subgroup.</w:t>
      </w:r>
    </w:p>
    <w:tbl>
      <w:tblPr>
        <w:tblStyle w:val="TableGrid"/>
        <w:tblW w:w="0" w:type="auto"/>
        <w:tblLook w:val="04A0" w:firstRow="1" w:lastRow="0" w:firstColumn="1" w:lastColumn="0" w:noHBand="0" w:noVBand="1"/>
      </w:tblPr>
      <w:tblGrid>
        <w:gridCol w:w="1980"/>
        <w:gridCol w:w="2528"/>
        <w:gridCol w:w="1157"/>
        <w:gridCol w:w="3351"/>
      </w:tblGrid>
      <w:tr w:rsidR="00382FBF" w14:paraId="7695C864" w14:textId="77777777" w:rsidTr="004D17B6">
        <w:tc>
          <w:tcPr>
            <w:tcW w:w="1980" w:type="dxa"/>
          </w:tcPr>
          <w:p w14:paraId="384A04C5" w14:textId="77777777" w:rsidR="00382FBF" w:rsidRPr="002B22E4" w:rsidRDefault="00382FBF" w:rsidP="004D17B6">
            <w:pPr>
              <w:jc w:val="center"/>
              <w:rPr>
                <w:b/>
                <w:bCs/>
              </w:rPr>
            </w:pPr>
            <w:r>
              <w:rPr>
                <w:b/>
                <w:bCs/>
              </w:rPr>
              <w:t>Cluster Term</w:t>
            </w:r>
          </w:p>
        </w:tc>
        <w:tc>
          <w:tcPr>
            <w:tcW w:w="2528" w:type="dxa"/>
          </w:tcPr>
          <w:p w14:paraId="0AA5D7C1" w14:textId="77777777" w:rsidR="00382FBF" w:rsidRPr="002B22E4" w:rsidRDefault="00382FBF" w:rsidP="004D17B6">
            <w:pPr>
              <w:jc w:val="center"/>
              <w:rPr>
                <w:b/>
                <w:bCs/>
              </w:rPr>
            </w:pPr>
            <w:r>
              <w:rPr>
                <w:b/>
                <w:bCs/>
              </w:rPr>
              <w:t>Enrichment Score</w:t>
            </w:r>
          </w:p>
        </w:tc>
        <w:tc>
          <w:tcPr>
            <w:tcW w:w="1157" w:type="dxa"/>
          </w:tcPr>
          <w:p w14:paraId="1752C6F4" w14:textId="77777777" w:rsidR="00382FBF" w:rsidRPr="002B22E4" w:rsidRDefault="00382FBF" w:rsidP="004D17B6">
            <w:pPr>
              <w:jc w:val="center"/>
              <w:rPr>
                <w:b/>
                <w:bCs/>
              </w:rPr>
            </w:pPr>
            <w:r>
              <w:rPr>
                <w:b/>
                <w:bCs/>
              </w:rPr>
              <w:t>Count</w:t>
            </w:r>
          </w:p>
        </w:tc>
        <w:tc>
          <w:tcPr>
            <w:tcW w:w="3351" w:type="dxa"/>
          </w:tcPr>
          <w:p w14:paraId="5DA74F30" w14:textId="77777777" w:rsidR="00382FBF" w:rsidRPr="002B22E4" w:rsidRDefault="00382FBF" w:rsidP="004D17B6">
            <w:pPr>
              <w:jc w:val="center"/>
              <w:rPr>
                <w:b/>
                <w:bCs/>
              </w:rPr>
            </w:pPr>
            <w:r>
              <w:rPr>
                <w:b/>
                <w:bCs/>
              </w:rPr>
              <w:t>Benjamini corrected p-value</w:t>
            </w:r>
          </w:p>
        </w:tc>
      </w:tr>
      <w:tr w:rsidR="00382FBF" w14:paraId="187E2312" w14:textId="77777777" w:rsidTr="004D17B6">
        <w:tc>
          <w:tcPr>
            <w:tcW w:w="1980" w:type="dxa"/>
          </w:tcPr>
          <w:p w14:paraId="6B358A01" w14:textId="65DFD78B" w:rsidR="00382FBF" w:rsidRDefault="009E27BB" w:rsidP="004D17B6">
            <w:pPr>
              <w:jc w:val="center"/>
            </w:pPr>
            <w:r>
              <w:t>Cell division</w:t>
            </w:r>
          </w:p>
        </w:tc>
        <w:tc>
          <w:tcPr>
            <w:tcW w:w="2528" w:type="dxa"/>
          </w:tcPr>
          <w:p w14:paraId="7FFC34EE" w14:textId="39703D28" w:rsidR="00382FBF" w:rsidRDefault="009E27BB" w:rsidP="004D17B6">
            <w:pPr>
              <w:jc w:val="center"/>
            </w:pPr>
            <w:r>
              <w:t>4.75</w:t>
            </w:r>
          </w:p>
        </w:tc>
        <w:tc>
          <w:tcPr>
            <w:tcW w:w="1157" w:type="dxa"/>
          </w:tcPr>
          <w:p w14:paraId="0987964F" w14:textId="35467588" w:rsidR="00382FBF" w:rsidRDefault="009E27BB" w:rsidP="004D17B6">
            <w:pPr>
              <w:jc w:val="center"/>
            </w:pPr>
            <w:r>
              <w:t>35</w:t>
            </w:r>
          </w:p>
        </w:tc>
        <w:tc>
          <w:tcPr>
            <w:tcW w:w="3351" w:type="dxa"/>
          </w:tcPr>
          <w:p w14:paraId="319E1451" w14:textId="4DDAC148" w:rsidR="00382FBF" w:rsidRPr="009E27BB" w:rsidRDefault="009E27BB" w:rsidP="004D17B6">
            <w:pPr>
              <w:jc w:val="center"/>
              <w:rPr>
                <w:vertAlign w:val="superscript"/>
              </w:rPr>
            </w:pPr>
            <w:r>
              <w:t>1.2 x 10</w:t>
            </w:r>
            <w:r>
              <w:rPr>
                <w:vertAlign w:val="superscript"/>
              </w:rPr>
              <w:t>-3</w:t>
            </w:r>
          </w:p>
        </w:tc>
      </w:tr>
      <w:tr w:rsidR="00382FBF" w14:paraId="6968FDA9" w14:textId="77777777" w:rsidTr="004D17B6">
        <w:tc>
          <w:tcPr>
            <w:tcW w:w="1980" w:type="dxa"/>
          </w:tcPr>
          <w:p w14:paraId="3A14337E" w14:textId="1F0DC4D9" w:rsidR="00382FBF" w:rsidRDefault="009E27BB" w:rsidP="004D17B6">
            <w:pPr>
              <w:jc w:val="center"/>
            </w:pPr>
            <w:r>
              <w:t>Peroxisome</w:t>
            </w:r>
          </w:p>
        </w:tc>
        <w:tc>
          <w:tcPr>
            <w:tcW w:w="2528" w:type="dxa"/>
          </w:tcPr>
          <w:p w14:paraId="34084D54" w14:textId="32A5B92F" w:rsidR="00382FBF" w:rsidRDefault="009E27BB" w:rsidP="004D17B6">
            <w:pPr>
              <w:jc w:val="center"/>
            </w:pPr>
            <w:r>
              <w:t>3.83</w:t>
            </w:r>
          </w:p>
        </w:tc>
        <w:tc>
          <w:tcPr>
            <w:tcW w:w="1157" w:type="dxa"/>
          </w:tcPr>
          <w:p w14:paraId="3D8B6037" w14:textId="05DBC6E3" w:rsidR="00382FBF" w:rsidRDefault="009E27BB" w:rsidP="004D17B6">
            <w:pPr>
              <w:jc w:val="center"/>
            </w:pPr>
            <w:r>
              <w:t>11</w:t>
            </w:r>
          </w:p>
        </w:tc>
        <w:tc>
          <w:tcPr>
            <w:tcW w:w="3351" w:type="dxa"/>
          </w:tcPr>
          <w:p w14:paraId="26F6E983" w14:textId="3CC32D47" w:rsidR="00382FBF" w:rsidRPr="009E27BB" w:rsidRDefault="009E27BB" w:rsidP="004D17B6">
            <w:pPr>
              <w:jc w:val="center"/>
              <w:rPr>
                <w:vertAlign w:val="superscript"/>
              </w:rPr>
            </w:pPr>
            <w:r>
              <w:t>6.7 x 10</w:t>
            </w:r>
            <w:r>
              <w:rPr>
                <w:vertAlign w:val="superscript"/>
              </w:rPr>
              <w:t>-3</w:t>
            </w:r>
          </w:p>
        </w:tc>
      </w:tr>
      <w:tr w:rsidR="00382FBF" w14:paraId="5530E824" w14:textId="77777777" w:rsidTr="004D17B6">
        <w:tc>
          <w:tcPr>
            <w:tcW w:w="1980" w:type="dxa"/>
          </w:tcPr>
          <w:p w14:paraId="7BD829A3" w14:textId="57E1A5CC" w:rsidR="00382FBF" w:rsidRDefault="009E27BB" w:rsidP="004D17B6">
            <w:pPr>
              <w:jc w:val="center"/>
            </w:pPr>
            <w:r>
              <w:t>Extracellular space</w:t>
            </w:r>
          </w:p>
        </w:tc>
        <w:tc>
          <w:tcPr>
            <w:tcW w:w="2528" w:type="dxa"/>
          </w:tcPr>
          <w:p w14:paraId="2EC24BFA" w14:textId="181296B8" w:rsidR="00382FBF" w:rsidRPr="009E27BB" w:rsidRDefault="009E27BB" w:rsidP="004D17B6">
            <w:pPr>
              <w:jc w:val="center"/>
            </w:pPr>
            <w:r>
              <w:t>3.46</w:t>
            </w:r>
          </w:p>
        </w:tc>
        <w:tc>
          <w:tcPr>
            <w:tcW w:w="1157" w:type="dxa"/>
          </w:tcPr>
          <w:p w14:paraId="6EE96FBD" w14:textId="6ED18208" w:rsidR="00382FBF" w:rsidRDefault="009E27BB" w:rsidP="004D17B6">
            <w:pPr>
              <w:jc w:val="center"/>
            </w:pPr>
            <w:r>
              <w:t>150</w:t>
            </w:r>
          </w:p>
        </w:tc>
        <w:tc>
          <w:tcPr>
            <w:tcW w:w="3351" w:type="dxa"/>
          </w:tcPr>
          <w:p w14:paraId="0C708F2A" w14:textId="0373671C" w:rsidR="00382FBF" w:rsidRPr="009E27BB" w:rsidRDefault="009E27BB" w:rsidP="004D17B6">
            <w:pPr>
              <w:jc w:val="center"/>
            </w:pPr>
            <w:r>
              <w:t>1.9 x 10</w:t>
            </w:r>
            <w:r>
              <w:rPr>
                <w:vertAlign w:val="superscript"/>
              </w:rPr>
              <w:t>-3</w:t>
            </w:r>
          </w:p>
        </w:tc>
      </w:tr>
      <w:tr w:rsidR="00382FBF" w14:paraId="03D85C08" w14:textId="77777777" w:rsidTr="004D17B6">
        <w:tc>
          <w:tcPr>
            <w:tcW w:w="1980" w:type="dxa"/>
          </w:tcPr>
          <w:p w14:paraId="50469B86" w14:textId="02D4410A" w:rsidR="00382FBF" w:rsidRDefault="009E27BB" w:rsidP="004D17B6">
            <w:pPr>
              <w:jc w:val="center"/>
            </w:pPr>
            <w:r>
              <w:t>Steroid hormone biosynthesis</w:t>
            </w:r>
          </w:p>
        </w:tc>
        <w:tc>
          <w:tcPr>
            <w:tcW w:w="2528" w:type="dxa"/>
          </w:tcPr>
          <w:p w14:paraId="3FC9337B" w14:textId="1F3E2A38" w:rsidR="00382FBF" w:rsidRDefault="009E27BB" w:rsidP="004D17B6">
            <w:pPr>
              <w:jc w:val="center"/>
            </w:pPr>
            <w:r>
              <w:t>3.33</w:t>
            </w:r>
          </w:p>
        </w:tc>
        <w:tc>
          <w:tcPr>
            <w:tcW w:w="1157" w:type="dxa"/>
          </w:tcPr>
          <w:p w14:paraId="24C8BA52" w14:textId="5624BE0E" w:rsidR="00382FBF" w:rsidRDefault="009E27BB" w:rsidP="004D17B6">
            <w:pPr>
              <w:jc w:val="center"/>
            </w:pPr>
            <w:r>
              <w:t>20</w:t>
            </w:r>
          </w:p>
        </w:tc>
        <w:tc>
          <w:tcPr>
            <w:tcW w:w="3351" w:type="dxa"/>
          </w:tcPr>
          <w:p w14:paraId="43A09DF3" w14:textId="67E1EAD8" w:rsidR="00382FBF" w:rsidRPr="009E27BB" w:rsidRDefault="009E27BB" w:rsidP="004D17B6">
            <w:pPr>
              <w:jc w:val="center"/>
              <w:rPr>
                <w:vertAlign w:val="superscript"/>
              </w:rPr>
            </w:pPr>
            <w:r>
              <w:t>1.5 x 10</w:t>
            </w:r>
            <w:r>
              <w:rPr>
                <w:vertAlign w:val="superscript"/>
              </w:rPr>
              <w:t>-3</w:t>
            </w:r>
          </w:p>
        </w:tc>
      </w:tr>
      <w:tr w:rsidR="00382FBF" w14:paraId="151F6450" w14:textId="77777777" w:rsidTr="004D17B6">
        <w:tc>
          <w:tcPr>
            <w:tcW w:w="1980" w:type="dxa"/>
          </w:tcPr>
          <w:p w14:paraId="1E4F4FD6" w14:textId="6DF3A828" w:rsidR="00382FBF" w:rsidRDefault="00217A9F" w:rsidP="004D17B6">
            <w:pPr>
              <w:jc w:val="center"/>
            </w:pPr>
            <w:r>
              <w:t>ATP binding</w:t>
            </w:r>
          </w:p>
        </w:tc>
        <w:tc>
          <w:tcPr>
            <w:tcW w:w="2528" w:type="dxa"/>
          </w:tcPr>
          <w:p w14:paraId="63B68FAB" w14:textId="518779BE" w:rsidR="00382FBF" w:rsidRDefault="00217A9F" w:rsidP="004D17B6">
            <w:pPr>
              <w:jc w:val="center"/>
            </w:pPr>
            <w:r>
              <w:t>2.45</w:t>
            </w:r>
          </w:p>
        </w:tc>
        <w:tc>
          <w:tcPr>
            <w:tcW w:w="1157" w:type="dxa"/>
          </w:tcPr>
          <w:p w14:paraId="6DB28589" w14:textId="336590EA" w:rsidR="00382FBF" w:rsidRDefault="00217A9F" w:rsidP="004D17B6">
            <w:pPr>
              <w:jc w:val="center"/>
            </w:pPr>
            <w:r>
              <w:t>142</w:t>
            </w:r>
          </w:p>
        </w:tc>
        <w:tc>
          <w:tcPr>
            <w:tcW w:w="3351" w:type="dxa"/>
          </w:tcPr>
          <w:p w14:paraId="74B9C09E" w14:textId="09D3674D" w:rsidR="00382FBF" w:rsidRPr="00217A9F" w:rsidRDefault="00217A9F" w:rsidP="004D17B6">
            <w:pPr>
              <w:jc w:val="center"/>
              <w:rPr>
                <w:vertAlign w:val="superscript"/>
              </w:rPr>
            </w:pPr>
            <w:r>
              <w:t>4.4 x 10</w:t>
            </w:r>
            <w:r>
              <w:rPr>
                <w:vertAlign w:val="superscript"/>
              </w:rPr>
              <w:t>-3</w:t>
            </w:r>
          </w:p>
        </w:tc>
      </w:tr>
      <w:tr w:rsidR="00382FBF" w14:paraId="6A45A732" w14:textId="77777777" w:rsidTr="004D17B6">
        <w:tc>
          <w:tcPr>
            <w:tcW w:w="1980" w:type="dxa"/>
          </w:tcPr>
          <w:p w14:paraId="70580EBA" w14:textId="676114E5" w:rsidR="00382FBF" w:rsidRDefault="00217A9F" w:rsidP="004D17B6">
            <w:pPr>
              <w:jc w:val="center"/>
            </w:pPr>
            <w:r>
              <w:t>Flavoprotein</w:t>
            </w:r>
          </w:p>
        </w:tc>
        <w:tc>
          <w:tcPr>
            <w:tcW w:w="2528" w:type="dxa"/>
          </w:tcPr>
          <w:p w14:paraId="7D39E237" w14:textId="19FA83E1" w:rsidR="00382FBF" w:rsidRDefault="00217A9F" w:rsidP="004D17B6">
            <w:pPr>
              <w:jc w:val="center"/>
            </w:pPr>
            <w:r>
              <w:t>2.4</w:t>
            </w:r>
          </w:p>
        </w:tc>
        <w:tc>
          <w:tcPr>
            <w:tcW w:w="1157" w:type="dxa"/>
          </w:tcPr>
          <w:p w14:paraId="30A84082" w14:textId="77C540E9" w:rsidR="00382FBF" w:rsidRDefault="00217A9F" w:rsidP="004D17B6">
            <w:pPr>
              <w:jc w:val="center"/>
            </w:pPr>
            <w:r>
              <w:t>21</w:t>
            </w:r>
          </w:p>
        </w:tc>
        <w:tc>
          <w:tcPr>
            <w:tcW w:w="3351" w:type="dxa"/>
          </w:tcPr>
          <w:p w14:paraId="41BF7DB0" w14:textId="787A01B7" w:rsidR="00382FBF" w:rsidRPr="00217A9F" w:rsidRDefault="00217A9F" w:rsidP="004D17B6">
            <w:pPr>
              <w:jc w:val="center"/>
              <w:rPr>
                <w:vertAlign w:val="superscript"/>
              </w:rPr>
            </w:pPr>
            <w:r>
              <w:t>1.2 x 10</w:t>
            </w:r>
            <w:r>
              <w:rPr>
                <w:vertAlign w:val="superscript"/>
              </w:rPr>
              <w:t>-2</w:t>
            </w:r>
          </w:p>
        </w:tc>
      </w:tr>
      <w:tr w:rsidR="00382FBF" w14:paraId="3D341696" w14:textId="77777777" w:rsidTr="004D17B6">
        <w:tc>
          <w:tcPr>
            <w:tcW w:w="1980" w:type="dxa"/>
          </w:tcPr>
          <w:p w14:paraId="0D2C1657" w14:textId="1275D572" w:rsidR="00382FBF" w:rsidRDefault="00217A9F" w:rsidP="004D17B6">
            <w:pPr>
              <w:jc w:val="center"/>
            </w:pPr>
            <w:r>
              <w:t>Protein phosphorylation</w:t>
            </w:r>
          </w:p>
        </w:tc>
        <w:tc>
          <w:tcPr>
            <w:tcW w:w="2528" w:type="dxa"/>
          </w:tcPr>
          <w:p w14:paraId="6F61ADAB" w14:textId="1CFDE5D5" w:rsidR="00382FBF" w:rsidRDefault="00217A9F" w:rsidP="004D17B6">
            <w:pPr>
              <w:jc w:val="center"/>
            </w:pPr>
            <w:r>
              <w:t>2.25</w:t>
            </w:r>
          </w:p>
        </w:tc>
        <w:tc>
          <w:tcPr>
            <w:tcW w:w="1157" w:type="dxa"/>
          </w:tcPr>
          <w:p w14:paraId="11505D74" w14:textId="29D95AE3" w:rsidR="00382FBF" w:rsidRDefault="00217A9F" w:rsidP="004D17B6">
            <w:pPr>
              <w:jc w:val="center"/>
            </w:pPr>
            <w:r>
              <w:t>56</w:t>
            </w:r>
          </w:p>
        </w:tc>
        <w:tc>
          <w:tcPr>
            <w:tcW w:w="3351" w:type="dxa"/>
          </w:tcPr>
          <w:p w14:paraId="531DE702" w14:textId="34CFA198" w:rsidR="00382FBF" w:rsidRPr="00217A9F" w:rsidRDefault="00217A9F" w:rsidP="004D17B6">
            <w:pPr>
              <w:jc w:val="center"/>
              <w:rPr>
                <w:vertAlign w:val="superscript"/>
              </w:rPr>
            </w:pPr>
            <w:r>
              <w:t>2.3 x 10</w:t>
            </w:r>
            <w:r>
              <w:rPr>
                <w:vertAlign w:val="superscript"/>
              </w:rPr>
              <w:t>-1</w:t>
            </w:r>
          </w:p>
        </w:tc>
      </w:tr>
      <w:tr w:rsidR="00382FBF" w14:paraId="77C836F9" w14:textId="77777777" w:rsidTr="004D17B6">
        <w:tc>
          <w:tcPr>
            <w:tcW w:w="1980" w:type="dxa"/>
          </w:tcPr>
          <w:p w14:paraId="125350B0" w14:textId="0F352F67" w:rsidR="00382FBF" w:rsidRDefault="00217A9F" w:rsidP="004D17B6">
            <w:pPr>
              <w:jc w:val="center"/>
            </w:pPr>
            <w:r>
              <w:t>Maturation of 5.8S rRNA</w:t>
            </w:r>
          </w:p>
        </w:tc>
        <w:tc>
          <w:tcPr>
            <w:tcW w:w="2528" w:type="dxa"/>
          </w:tcPr>
          <w:p w14:paraId="214B1B66" w14:textId="44D97D34" w:rsidR="00382FBF" w:rsidRDefault="00217A9F" w:rsidP="004D17B6">
            <w:pPr>
              <w:jc w:val="center"/>
            </w:pPr>
            <w:r>
              <w:t>2.18</w:t>
            </w:r>
          </w:p>
        </w:tc>
        <w:tc>
          <w:tcPr>
            <w:tcW w:w="1157" w:type="dxa"/>
          </w:tcPr>
          <w:p w14:paraId="5966D904" w14:textId="66A4FF7E" w:rsidR="00382FBF" w:rsidRDefault="00217A9F" w:rsidP="004D17B6">
            <w:pPr>
              <w:jc w:val="center"/>
            </w:pPr>
            <w:r>
              <w:t>4</w:t>
            </w:r>
          </w:p>
        </w:tc>
        <w:tc>
          <w:tcPr>
            <w:tcW w:w="3351" w:type="dxa"/>
          </w:tcPr>
          <w:p w14:paraId="59A05ACC" w14:textId="26B0A147" w:rsidR="00382FBF" w:rsidRPr="00217A9F" w:rsidRDefault="00217A9F" w:rsidP="004D17B6">
            <w:pPr>
              <w:jc w:val="center"/>
              <w:rPr>
                <w:vertAlign w:val="superscript"/>
              </w:rPr>
            </w:pPr>
            <w:r>
              <w:t>1.6 x 10</w:t>
            </w:r>
            <w:r>
              <w:rPr>
                <w:vertAlign w:val="superscript"/>
              </w:rPr>
              <w:t>-1</w:t>
            </w:r>
          </w:p>
        </w:tc>
      </w:tr>
      <w:tr w:rsidR="00382FBF" w14:paraId="3B336DB9" w14:textId="77777777" w:rsidTr="004D17B6">
        <w:tc>
          <w:tcPr>
            <w:tcW w:w="1980" w:type="dxa"/>
          </w:tcPr>
          <w:p w14:paraId="56F1D9C1" w14:textId="066B7BDD" w:rsidR="00382FBF" w:rsidRDefault="00217A9F" w:rsidP="004D17B6">
            <w:pPr>
              <w:jc w:val="center"/>
            </w:pPr>
            <w:r>
              <w:t>Mitotic cell cycle phase transition</w:t>
            </w:r>
          </w:p>
        </w:tc>
        <w:tc>
          <w:tcPr>
            <w:tcW w:w="2528" w:type="dxa"/>
          </w:tcPr>
          <w:p w14:paraId="173B9F27" w14:textId="06AF3F19" w:rsidR="00382FBF" w:rsidRDefault="00217A9F" w:rsidP="004D17B6">
            <w:pPr>
              <w:jc w:val="center"/>
            </w:pPr>
            <w:r>
              <w:t>2.03</w:t>
            </w:r>
          </w:p>
        </w:tc>
        <w:tc>
          <w:tcPr>
            <w:tcW w:w="1157" w:type="dxa"/>
          </w:tcPr>
          <w:p w14:paraId="65554D11" w14:textId="056AA65F" w:rsidR="00382FBF" w:rsidRDefault="00217A9F" w:rsidP="004D17B6">
            <w:pPr>
              <w:jc w:val="center"/>
            </w:pPr>
            <w:r>
              <w:t>10</w:t>
            </w:r>
          </w:p>
        </w:tc>
        <w:tc>
          <w:tcPr>
            <w:tcW w:w="3351" w:type="dxa"/>
          </w:tcPr>
          <w:p w14:paraId="147A8455" w14:textId="168C196D" w:rsidR="00382FBF" w:rsidRPr="00217A9F" w:rsidRDefault="00217A9F" w:rsidP="004D17B6">
            <w:pPr>
              <w:jc w:val="center"/>
              <w:rPr>
                <w:vertAlign w:val="superscript"/>
              </w:rPr>
            </w:pPr>
            <w:r>
              <w:t>1.5 x 10</w:t>
            </w:r>
            <w:r>
              <w:rPr>
                <w:vertAlign w:val="superscript"/>
              </w:rPr>
              <w:t>-3</w:t>
            </w:r>
          </w:p>
        </w:tc>
      </w:tr>
      <w:tr w:rsidR="00382FBF" w14:paraId="146B5C8F" w14:textId="77777777" w:rsidTr="004D17B6">
        <w:tc>
          <w:tcPr>
            <w:tcW w:w="1980" w:type="dxa"/>
          </w:tcPr>
          <w:p w14:paraId="3F051891" w14:textId="5B53FF82" w:rsidR="00382FBF" w:rsidRDefault="00217A9F" w:rsidP="004D17B6">
            <w:pPr>
              <w:jc w:val="center"/>
            </w:pPr>
            <w:r>
              <w:t>Thrombospondin</w:t>
            </w:r>
          </w:p>
        </w:tc>
        <w:tc>
          <w:tcPr>
            <w:tcW w:w="2528" w:type="dxa"/>
          </w:tcPr>
          <w:p w14:paraId="418C3BA8" w14:textId="2739895B" w:rsidR="00382FBF" w:rsidRDefault="00217A9F" w:rsidP="004D17B6">
            <w:pPr>
              <w:jc w:val="center"/>
            </w:pPr>
            <w:r>
              <w:t>1.93</w:t>
            </w:r>
          </w:p>
        </w:tc>
        <w:tc>
          <w:tcPr>
            <w:tcW w:w="1157" w:type="dxa"/>
          </w:tcPr>
          <w:p w14:paraId="3BD972B9" w14:textId="55B8778B" w:rsidR="00382FBF" w:rsidRDefault="00217A9F" w:rsidP="004D17B6">
            <w:pPr>
              <w:jc w:val="center"/>
            </w:pPr>
            <w:r>
              <w:t>12</w:t>
            </w:r>
          </w:p>
        </w:tc>
        <w:tc>
          <w:tcPr>
            <w:tcW w:w="3351" w:type="dxa"/>
          </w:tcPr>
          <w:p w14:paraId="2013031E" w14:textId="0DFAA59F" w:rsidR="00382FBF" w:rsidRPr="00217A9F" w:rsidRDefault="00217A9F" w:rsidP="004D17B6">
            <w:pPr>
              <w:jc w:val="center"/>
              <w:rPr>
                <w:vertAlign w:val="superscript"/>
              </w:rPr>
            </w:pPr>
            <w:r>
              <w:t>2.4 x 10</w:t>
            </w:r>
            <w:r>
              <w:rPr>
                <w:vertAlign w:val="superscript"/>
              </w:rPr>
              <w:t>-1</w:t>
            </w:r>
          </w:p>
        </w:tc>
      </w:tr>
    </w:tbl>
    <w:p w14:paraId="75CA9870" w14:textId="44F1CF9D" w:rsidR="00382FBF" w:rsidRDefault="00382FBF" w:rsidP="00382FBF">
      <w:pPr>
        <w:rPr>
          <w:sz w:val="22"/>
          <w:szCs w:val="20"/>
        </w:rPr>
      </w:pPr>
      <w:r>
        <w:rPr>
          <w:sz w:val="22"/>
          <w:szCs w:val="20"/>
        </w:rPr>
        <w:t xml:space="preserve">Table </w:t>
      </w:r>
      <w:r w:rsidR="00217A9F">
        <w:rPr>
          <w:sz w:val="22"/>
          <w:szCs w:val="20"/>
        </w:rPr>
        <w:t>6</w:t>
      </w:r>
      <w:r>
        <w:rPr>
          <w:sz w:val="22"/>
          <w:szCs w:val="20"/>
        </w:rPr>
        <w:t xml:space="preserve">: Summarized table of the functionally enriched pathways as produced by DAVID for the </w:t>
      </w:r>
      <w:r>
        <w:rPr>
          <w:sz w:val="22"/>
          <w:szCs w:val="20"/>
        </w:rPr>
        <w:t>AhR</w:t>
      </w:r>
      <w:r>
        <w:rPr>
          <w:sz w:val="22"/>
          <w:szCs w:val="20"/>
        </w:rPr>
        <w:t xml:space="preserve"> subgroup.</w:t>
      </w:r>
    </w:p>
    <w:tbl>
      <w:tblPr>
        <w:tblStyle w:val="TableGrid"/>
        <w:tblW w:w="0" w:type="auto"/>
        <w:tblLook w:val="04A0" w:firstRow="1" w:lastRow="0" w:firstColumn="1" w:lastColumn="0" w:noHBand="0" w:noVBand="1"/>
      </w:tblPr>
      <w:tblGrid>
        <w:gridCol w:w="1980"/>
        <w:gridCol w:w="2528"/>
        <w:gridCol w:w="1157"/>
        <w:gridCol w:w="3351"/>
      </w:tblGrid>
      <w:tr w:rsidR="00217A9F" w14:paraId="011143A8" w14:textId="77777777" w:rsidTr="004D17B6">
        <w:tc>
          <w:tcPr>
            <w:tcW w:w="1980" w:type="dxa"/>
          </w:tcPr>
          <w:p w14:paraId="7D9062B1" w14:textId="77777777" w:rsidR="00217A9F" w:rsidRPr="002B22E4" w:rsidRDefault="00217A9F" w:rsidP="004D17B6">
            <w:pPr>
              <w:jc w:val="center"/>
              <w:rPr>
                <w:b/>
                <w:bCs/>
              </w:rPr>
            </w:pPr>
            <w:r>
              <w:rPr>
                <w:b/>
                <w:bCs/>
              </w:rPr>
              <w:t>Cluster Term</w:t>
            </w:r>
          </w:p>
        </w:tc>
        <w:tc>
          <w:tcPr>
            <w:tcW w:w="2528" w:type="dxa"/>
          </w:tcPr>
          <w:p w14:paraId="27272A05" w14:textId="77777777" w:rsidR="00217A9F" w:rsidRPr="002B22E4" w:rsidRDefault="00217A9F" w:rsidP="004D17B6">
            <w:pPr>
              <w:jc w:val="center"/>
              <w:rPr>
                <w:b/>
                <w:bCs/>
              </w:rPr>
            </w:pPr>
            <w:r>
              <w:rPr>
                <w:b/>
                <w:bCs/>
              </w:rPr>
              <w:t>Enrichment Score</w:t>
            </w:r>
          </w:p>
        </w:tc>
        <w:tc>
          <w:tcPr>
            <w:tcW w:w="1157" w:type="dxa"/>
          </w:tcPr>
          <w:p w14:paraId="2483D643" w14:textId="77777777" w:rsidR="00217A9F" w:rsidRPr="002B22E4" w:rsidRDefault="00217A9F" w:rsidP="004D17B6">
            <w:pPr>
              <w:jc w:val="center"/>
              <w:rPr>
                <w:b/>
                <w:bCs/>
              </w:rPr>
            </w:pPr>
            <w:r>
              <w:rPr>
                <w:b/>
                <w:bCs/>
              </w:rPr>
              <w:t>Count</w:t>
            </w:r>
          </w:p>
        </w:tc>
        <w:tc>
          <w:tcPr>
            <w:tcW w:w="3351" w:type="dxa"/>
          </w:tcPr>
          <w:p w14:paraId="70BF9703" w14:textId="77777777" w:rsidR="00217A9F" w:rsidRPr="002B22E4" w:rsidRDefault="00217A9F" w:rsidP="004D17B6">
            <w:pPr>
              <w:jc w:val="center"/>
              <w:rPr>
                <w:b/>
                <w:bCs/>
              </w:rPr>
            </w:pPr>
            <w:r>
              <w:rPr>
                <w:b/>
                <w:bCs/>
              </w:rPr>
              <w:t>Benjamini corrected p-value</w:t>
            </w:r>
          </w:p>
        </w:tc>
      </w:tr>
      <w:tr w:rsidR="00217A9F" w14:paraId="4EFABD4F" w14:textId="77777777" w:rsidTr="004D17B6">
        <w:tc>
          <w:tcPr>
            <w:tcW w:w="1980" w:type="dxa"/>
          </w:tcPr>
          <w:p w14:paraId="0E5D375C" w14:textId="1CC61624" w:rsidR="00217A9F" w:rsidRDefault="0046775F" w:rsidP="004D17B6">
            <w:pPr>
              <w:jc w:val="center"/>
            </w:pPr>
            <w:r>
              <w:t>Mitochondrion</w:t>
            </w:r>
          </w:p>
        </w:tc>
        <w:tc>
          <w:tcPr>
            <w:tcW w:w="2528" w:type="dxa"/>
          </w:tcPr>
          <w:p w14:paraId="29218829" w14:textId="40FF9E01" w:rsidR="00217A9F" w:rsidRDefault="0046775F" w:rsidP="004D17B6">
            <w:pPr>
              <w:jc w:val="center"/>
            </w:pPr>
            <w:r>
              <w:t>13.25</w:t>
            </w:r>
          </w:p>
        </w:tc>
        <w:tc>
          <w:tcPr>
            <w:tcW w:w="1157" w:type="dxa"/>
          </w:tcPr>
          <w:p w14:paraId="067153AB" w14:textId="14F2A532" w:rsidR="00217A9F" w:rsidRDefault="0046775F" w:rsidP="004D17B6">
            <w:pPr>
              <w:jc w:val="center"/>
            </w:pPr>
            <w:r>
              <w:t>221</w:t>
            </w:r>
          </w:p>
        </w:tc>
        <w:tc>
          <w:tcPr>
            <w:tcW w:w="3351" w:type="dxa"/>
          </w:tcPr>
          <w:p w14:paraId="44A37CE2" w14:textId="20E7A8DF" w:rsidR="00217A9F" w:rsidRPr="00217A9F" w:rsidRDefault="0046775F" w:rsidP="004D17B6">
            <w:pPr>
              <w:jc w:val="center"/>
            </w:pPr>
            <w:r>
              <w:t>5.5 x 10</w:t>
            </w:r>
            <w:r w:rsidRPr="0046775F">
              <w:rPr>
                <w:vertAlign w:val="superscript"/>
              </w:rPr>
              <w:noBreakHyphen/>
              <w:t>15</w:t>
            </w:r>
          </w:p>
        </w:tc>
      </w:tr>
      <w:tr w:rsidR="00217A9F" w14:paraId="7E2CA194" w14:textId="77777777" w:rsidTr="004D17B6">
        <w:tc>
          <w:tcPr>
            <w:tcW w:w="1980" w:type="dxa"/>
          </w:tcPr>
          <w:p w14:paraId="043D61B6" w14:textId="1D4A0085" w:rsidR="00217A9F" w:rsidRDefault="0046775F" w:rsidP="004D17B6">
            <w:pPr>
              <w:jc w:val="center"/>
            </w:pPr>
            <w:r>
              <w:t>Protein biosynthesis</w:t>
            </w:r>
          </w:p>
        </w:tc>
        <w:tc>
          <w:tcPr>
            <w:tcW w:w="2528" w:type="dxa"/>
          </w:tcPr>
          <w:p w14:paraId="41DA26B5" w14:textId="366D6936" w:rsidR="00217A9F" w:rsidRDefault="0046775F" w:rsidP="004D17B6">
            <w:pPr>
              <w:jc w:val="center"/>
            </w:pPr>
            <w:r>
              <w:t>7.04</w:t>
            </w:r>
          </w:p>
        </w:tc>
        <w:tc>
          <w:tcPr>
            <w:tcW w:w="1157" w:type="dxa"/>
          </w:tcPr>
          <w:p w14:paraId="690BD24E" w14:textId="67A44FE6" w:rsidR="00217A9F" w:rsidRDefault="0046775F" w:rsidP="004D17B6">
            <w:pPr>
              <w:jc w:val="center"/>
            </w:pPr>
            <w:r>
              <w:t>49</w:t>
            </w:r>
          </w:p>
        </w:tc>
        <w:tc>
          <w:tcPr>
            <w:tcW w:w="3351" w:type="dxa"/>
          </w:tcPr>
          <w:p w14:paraId="058FF167" w14:textId="21813FDA" w:rsidR="00217A9F" w:rsidRPr="0046775F" w:rsidRDefault="0046775F" w:rsidP="004D17B6">
            <w:pPr>
              <w:jc w:val="center"/>
              <w:rPr>
                <w:vertAlign w:val="superscript"/>
              </w:rPr>
            </w:pPr>
            <w:r>
              <w:t>1.4 x 10</w:t>
            </w:r>
            <w:r>
              <w:rPr>
                <w:vertAlign w:val="superscript"/>
              </w:rPr>
              <w:t>-8</w:t>
            </w:r>
          </w:p>
        </w:tc>
      </w:tr>
      <w:tr w:rsidR="00217A9F" w14:paraId="2F8D5D28" w14:textId="77777777" w:rsidTr="004D17B6">
        <w:tc>
          <w:tcPr>
            <w:tcW w:w="1980" w:type="dxa"/>
          </w:tcPr>
          <w:p w14:paraId="113FAE91" w14:textId="604CA47A" w:rsidR="00217A9F" w:rsidRDefault="0046775F" w:rsidP="004D17B6">
            <w:pPr>
              <w:jc w:val="center"/>
            </w:pPr>
            <w:r>
              <w:t>Isopeptide bond</w:t>
            </w:r>
          </w:p>
        </w:tc>
        <w:tc>
          <w:tcPr>
            <w:tcW w:w="2528" w:type="dxa"/>
          </w:tcPr>
          <w:p w14:paraId="5318B7A2" w14:textId="5D05FDBF" w:rsidR="00217A9F" w:rsidRPr="009E27BB" w:rsidRDefault="00A44315" w:rsidP="004D17B6">
            <w:pPr>
              <w:jc w:val="center"/>
            </w:pPr>
            <w:r>
              <w:t>6.29</w:t>
            </w:r>
          </w:p>
        </w:tc>
        <w:tc>
          <w:tcPr>
            <w:tcW w:w="1157" w:type="dxa"/>
          </w:tcPr>
          <w:p w14:paraId="76499C36" w14:textId="7184F63E" w:rsidR="00217A9F" w:rsidRDefault="00A44315" w:rsidP="004D17B6">
            <w:pPr>
              <w:jc w:val="center"/>
            </w:pPr>
            <w:r>
              <w:t>116</w:t>
            </w:r>
          </w:p>
        </w:tc>
        <w:tc>
          <w:tcPr>
            <w:tcW w:w="3351" w:type="dxa"/>
          </w:tcPr>
          <w:p w14:paraId="00FAC612" w14:textId="5A157741" w:rsidR="00217A9F" w:rsidRPr="00A44315" w:rsidRDefault="00A44315" w:rsidP="004D17B6">
            <w:pPr>
              <w:jc w:val="center"/>
              <w:rPr>
                <w:vertAlign w:val="superscript"/>
              </w:rPr>
            </w:pPr>
            <w:r>
              <w:t>6.9 x 10</w:t>
            </w:r>
            <w:r>
              <w:rPr>
                <w:vertAlign w:val="superscript"/>
              </w:rPr>
              <w:t>-10</w:t>
            </w:r>
          </w:p>
        </w:tc>
      </w:tr>
      <w:tr w:rsidR="00217A9F" w14:paraId="3DBEDB5D" w14:textId="77777777" w:rsidTr="004D17B6">
        <w:tc>
          <w:tcPr>
            <w:tcW w:w="1980" w:type="dxa"/>
          </w:tcPr>
          <w:p w14:paraId="5D3B9F59" w14:textId="64622741" w:rsidR="00217A9F" w:rsidRDefault="00A44315" w:rsidP="004D17B6">
            <w:pPr>
              <w:jc w:val="center"/>
            </w:pPr>
            <w:r>
              <w:t>ATP binding</w:t>
            </w:r>
          </w:p>
        </w:tc>
        <w:tc>
          <w:tcPr>
            <w:tcW w:w="2528" w:type="dxa"/>
          </w:tcPr>
          <w:p w14:paraId="535CFA2D" w14:textId="10C47DD8" w:rsidR="00217A9F" w:rsidRDefault="00A44315" w:rsidP="004D17B6">
            <w:pPr>
              <w:jc w:val="center"/>
            </w:pPr>
            <w:r>
              <w:t>6.22</w:t>
            </w:r>
          </w:p>
        </w:tc>
        <w:tc>
          <w:tcPr>
            <w:tcW w:w="1157" w:type="dxa"/>
          </w:tcPr>
          <w:p w14:paraId="30F6749A" w14:textId="2BCE8711" w:rsidR="00217A9F" w:rsidRDefault="00A44315" w:rsidP="004D17B6">
            <w:pPr>
              <w:jc w:val="center"/>
            </w:pPr>
            <w:r>
              <w:t>308</w:t>
            </w:r>
          </w:p>
        </w:tc>
        <w:tc>
          <w:tcPr>
            <w:tcW w:w="3351" w:type="dxa"/>
          </w:tcPr>
          <w:p w14:paraId="79E41321" w14:textId="23F2DFD3" w:rsidR="00217A9F" w:rsidRPr="00A44315" w:rsidRDefault="00A44315" w:rsidP="004D17B6">
            <w:pPr>
              <w:jc w:val="center"/>
              <w:rPr>
                <w:vertAlign w:val="superscript"/>
              </w:rPr>
            </w:pPr>
            <w:r>
              <w:t>9.7 x 10</w:t>
            </w:r>
            <w:r>
              <w:rPr>
                <w:vertAlign w:val="superscript"/>
              </w:rPr>
              <w:t>-10</w:t>
            </w:r>
          </w:p>
        </w:tc>
      </w:tr>
      <w:tr w:rsidR="00217A9F" w14:paraId="726E97A7" w14:textId="77777777" w:rsidTr="004D17B6">
        <w:tc>
          <w:tcPr>
            <w:tcW w:w="1980" w:type="dxa"/>
          </w:tcPr>
          <w:p w14:paraId="5DF25AB8" w14:textId="2851C566" w:rsidR="00217A9F" w:rsidRDefault="00A44315" w:rsidP="004D17B6">
            <w:pPr>
              <w:jc w:val="center"/>
            </w:pPr>
            <w:r>
              <w:t>Cytoplasm</w:t>
            </w:r>
          </w:p>
        </w:tc>
        <w:tc>
          <w:tcPr>
            <w:tcW w:w="2528" w:type="dxa"/>
          </w:tcPr>
          <w:p w14:paraId="358F402D" w14:textId="2E5B150C" w:rsidR="00217A9F" w:rsidRDefault="00A44315" w:rsidP="004D17B6">
            <w:pPr>
              <w:jc w:val="center"/>
            </w:pPr>
            <w:r>
              <w:t>5.62</w:t>
            </w:r>
          </w:p>
        </w:tc>
        <w:tc>
          <w:tcPr>
            <w:tcW w:w="1157" w:type="dxa"/>
          </w:tcPr>
          <w:p w14:paraId="539DD770" w14:textId="04F33BBE" w:rsidR="00217A9F" w:rsidRDefault="00A44315" w:rsidP="004D17B6">
            <w:pPr>
              <w:jc w:val="center"/>
            </w:pPr>
            <w:r>
              <w:t>338</w:t>
            </w:r>
          </w:p>
        </w:tc>
        <w:tc>
          <w:tcPr>
            <w:tcW w:w="3351" w:type="dxa"/>
          </w:tcPr>
          <w:p w14:paraId="695EBC67" w14:textId="531A0799" w:rsidR="00217A9F" w:rsidRPr="00A44315" w:rsidRDefault="00A44315" w:rsidP="004D17B6">
            <w:pPr>
              <w:jc w:val="center"/>
              <w:rPr>
                <w:vertAlign w:val="superscript"/>
              </w:rPr>
            </w:pPr>
            <w:r>
              <w:t>3.2 x 10</w:t>
            </w:r>
            <w:r>
              <w:rPr>
                <w:vertAlign w:val="superscript"/>
              </w:rPr>
              <w:t>-6</w:t>
            </w:r>
          </w:p>
        </w:tc>
      </w:tr>
      <w:tr w:rsidR="00217A9F" w14:paraId="4B959898" w14:textId="77777777" w:rsidTr="004D17B6">
        <w:tc>
          <w:tcPr>
            <w:tcW w:w="1980" w:type="dxa"/>
          </w:tcPr>
          <w:p w14:paraId="17BCD283" w14:textId="7242474A" w:rsidR="00217A9F" w:rsidRDefault="00A44315" w:rsidP="004D17B6">
            <w:pPr>
              <w:jc w:val="center"/>
            </w:pPr>
            <w:r>
              <w:t>Blood coagulation</w:t>
            </w:r>
          </w:p>
        </w:tc>
        <w:tc>
          <w:tcPr>
            <w:tcW w:w="2528" w:type="dxa"/>
          </w:tcPr>
          <w:p w14:paraId="41E4B458" w14:textId="6EA956DE" w:rsidR="00217A9F" w:rsidRDefault="00A44315" w:rsidP="004D17B6">
            <w:pPr>
              <w:jc w:val="center"/>
            </w:pPr>
            <w:r>
              <w:t>5.55</w:t>
            </w:r>
          </w:p>
        </w:tc>
        <w:tc>
          <w:tcPr>
            <w:tcW w:w="1157" w:type="dxa"/>
          </w:tcPr>
          <w:p w14:paraId="7DE77C1E" w14:textId="68141322" w:rsidR="00217A9F" w:rsidRDefault="00A44315" w:rsidP="004D17B6">
            <w:pPr>
              <w:jc w:val="center"/>
            </w:pPr>
            <w:r>
              <w:t>30</w:t>
            </w:r>
          </w:p>
        </w:tc>
        <w:tc>
          <w:tcPr>
            <w:tcW w:w="3351" w:type="dxa"/>
          </w:tcPr>
          <w:p w14:paraId="3491772C" w14:textId="67E636FC" w:rsidR="00217A9F" w:rsidRPr="00A44315" w:rsidRDefault="00A44315" w:rsidP="004D17B6">
            <w:pPr>
              <w:jc w:val="center"/>
              <w:rPr>
                <w:vertAlign w:val="superscript"/>
              </w:rPr>
            </w:pPr>
            <w:r>
              <w:t>6.7 x 10</w:t>
            </w:r>
            <w:r>
              <w:rPr>
                <w:vertAlign w:val="superscript"/>
              </w:rPr>
              <w:t>-5</w:t>
            </w:r>
          </w:p>
        </w:tc>
      </w:tr>
      <w:tr w:rsidR="00217A9F" w14:paraId="706D1758" w14:textId="77777777" w:rsidTr="004D17B6">
        <w:tc>
          <w:tcPr>
            <w:tcW w:w="1980" w:type="dxa"/>
          </w:tcPr>
          <w:p w14:paraId="450BCF3E" w14:textId="6D5A0BAE" w:rsidR="00217A9F" w:rsidRDefault="00A44315" w:rsidP="004D17B6">
            <w:pPr>
              <w:jc w:val="center"/>
            </w:pPr>
            <w:r>
              <w:t>Flavoprotein</w:t>
            </w:r>
          </w:p>
        </w:tc>
        <w:tc>
          <w:tcPr>
            <w:tcW w:w="2528" w:type="dxa"/>
          </w:tcPr>
          <w:p w14:paraId="711A570F" w14:textId="6C801208" w:rsidR="00217A9F" w:rsidRDefault="00A44315" w:rsidP="004D17B6">
            <w:pPr>
              <w:jc w:val="center"/>
            </w:pPr>
            <w:r>
              <w:t>5.31</w:t>
            </w:r>
          </w:p>
        </w:tc>
        <w:tc>
          <w:tcPr>
            <w:tcW w:w="1157" w:type="dxa"/>
          </w:tcPr>
          <w:p w14:paraId="1A8ADCFA" w14:textId="31AA4623" w:rsidR="00217A9F" w:rsidRDefault="00A44315" w:rsidP="004D17B6">
            <w:pPr>
              <w:jc w:val="center"/>
            </w:pPr>
            <w:r>
              <w:t>42</w:t>
            </w:r>
          </w:p>
        </w:tc>
        <w:tc>
          <w:tcPr>
            <w:tcW w:w="3351" w:type="dxa"/>
          </w:tcPr>
          <w:p w14:paraId="5C4C267B" w14:textId="302AB1C6" w:rsidR="00217A9F" w:rsidRPr="00A44315" w:rsidRDefault="00A44315" w:rsidP="004D17B6">
            <w:pPr>
              <w:jc w:val="center"/>
              <w:rPr>
                <w:vertAlign w:val="superscript"/>
              </w:rPr>
            </w:pPr>
            <w:r>
              <w:t>5.2 x 10</w:t>
            </w:r>
            <w:r>
              <w:rPr>
                <w:vertAlign w:val="superscript"/>
              </w:rPr>
              <w:t>-6</w:t>
            </w:r>
          </w:p>
        </w:tc>
      </w:tr>
      <w:tr w:rsidR="00217A9F" w14:paraId="03A9673D" w14:textId="77777777" w:rsidTr="004D17B6">
        <w:tc>
          <w:tcPr>
            <w:tcW w:w="1980" w:type="dxa"/>
          </w:tcPr>
          <w:p w14:paraId="242582EE" w14:textId="786D633F" w:rsidR="00217A9F" w:rsidRDefault="00A44315" w:rsidP="004D17B6">
            <w:pPr>
              <w:jc w:val="center"/>
            </w:pPr>
            <w:r>
              <w:t>Protein folding</w:t>
            </w:r>
          </w:p>
        </w:tc>
        <w:tc>
          <w:tcPr>
            <w:tcW w:w="2528" w:type="dxa"/>
          </w:tcPr>
          <w:p w14:paraId="4E1CB6F5" w14:textId="6B4C7F3B" w:rsidR="00217A9F" w:rsidRDefault="00A44315" w:rsidP="004D17B6">
            <w:pPr>
              <w:jc w:val="center"/>
            </w:pPr>
            <w:r>
              <w:t>4.99</w:t>
            </w:r>
          </w:p>
        </w:tc>
        <w:tc>
          <w:tcPr>
            <w:tcW w:w="1157" w:type="dxa"/>
          </w:tcPr>
          <w:p w14:paraId="3EA3AE52" w14:textId="27A64A00" w:rsidR="00217A9F" w:rsidRDefault="00A44315" w:rsidP="004D17B6">
            <w:pPr>
              <w:jc w:val="center"/>
            </w:pPr>
            <w:r>
              <w:t>38</w:t>
            </w:r>
          </w:p>
        </w:tc>
        <w:tc>
          <w:tcPr>
            <w:tcW w:w="3351" w:type="dxa"/>
          </w:tcPr>
          <w:p w14:paraId="2863470C" w14:textId="7BA5900D" w:rsidR="00217A9F" w:rsidRPr="00A44315" w:rsidRDefault="00A44315" w:rsidP="004D17B6">
            <w:pPr>
              <w:jc w:val="center"/>
              <w:rPr>
                <w:vertAlign w:val="superscript"/>
              </w:rPr>
            </w:pPr>
            <w:r>
              <w:t>1.8 x 10</w:t>
            </w:r>
            <w:r>
              <w:rPr>
                <w:vertAlign w:val="superscript"/>
              </w:rPr>
              <w:t>-3</w:t>
            </w:r>
          </w:p>
        </w:tc>
      </w:tr>
      <w:tr w:rsidR="00217A9F" w14:paraId="76E75288" w14:textId="77777777" w:rsidTr="004D17B6">
        <w:tc>
          <w:tcPr>
            <w:tcW w:w="1980" w:type="dxa"/>
          </w:tcPr>
          <w:p w14:paraId="14EA3467" w14:textId="693D895E" w:rsidR="00217A9F" w:rsidRDefault="00A44315" w:rsidP="004D17B6">
            <w:pPr>
              <w:jc w:val="center"/>
            </w:pPr>
            <w:r>
              <w:t>Drug metabolism</w:t>
            </w:r>
          </w:p>
        </w:tc>
        <w:tc>
          <w:tcPr>
            <w:tcW w:w="2528" w:type="dxa"/>
          </w:tcPr>
          <w:p w14:paraId="77E91175" w14:textId="27AF87A4" w:rsidR="00217A9F" w:rsidRDefault="00A44315" w:rsidP="004D17B6">
            <w:pPr>
              <w:jc w:val="center"/>
            </w:pPr>
            <w:r>
              <w:t>4.95</w:t>
            </w:r>
          </w:p>
        </w:tc>
        <w:tc>
          <w:tcPr>
            <w:tcW w:w="1157" w:type="dxa"/>
          </w:tcPr>
          <w:p w14:paraId="434F9EA1" w14:textId="7B5195B7" w:rsidR="00217A9F" w:rsidRDefault="00A44315" w:rsidP="004D17B6">
            <w:pPr>
              <w:jc w:val="center"/>
            </w:pPr>
            <w:r>
              <w:t>41</w:t>
            </w:r>
          </w:p>
        </w:tc>
        <w:tc>
          <w:tcPr>
            <w:tcW w:w="3351" w:type="dxa"/>
          </w:tcPr>
          <w:p w14:paraId="60855A55" w14:textId="6D824496" w:rsidR="00217A9F" w:rsidRPr="00A44315" w:rsidRDefault="00A44315" w:rsidP="004D17B6">
            <w:pPr>
              <w:jc w:val="center"/>
              <w:rPr>
                <w:vertAlign w:val="superscript"/>
              </w:rPr>
            </w:pPr>
            <w:r>
              <w:t>6.4 x 10</w:t>
            </w:r>
            <w:r>
              <w:rPr>
                <w:vertAlign w:val="superscript"/>
              </w:rPr>
              <w:t>-7</w:t>
            </w:r>
          </w:p>
        </w:tc>
      </w:tr>
      <w:tr w:rsidR="00217A9F" w14:paraId="7F91F44B" w14:textId="77777777" w:rsidTr="004D17B6">
        <w:tc>
          <w:tcPr>
            <w:tcW w:w="1980" w:type="dxa"/>
          </w:tcPr>
          <w:p w14:paraId="23561B93" w14:textId="54AB162D" w:rsidR="00217A9F" w:rsidRDefault="00A44315" w:rsidP="004D17B6">
            <w:pPr>
              <w:jc w:val="center"/>
            </w:pPr>
            <w:r>
              <w:t>Aminoacyl tRNA biosynthesis</w:t>
            </w:r>
          </w:p>
        </w:tc>
        <w:tc>
          <w:tcPr>
            <w:tcW w:w="2528" w:type="dxa"/>
          </w:tcPr>
          <w:p w14:paraId="396CAD18" w14:textId="104B3ABA" w:rsidR="00217A9F" w:rsidRDefault="00A44315" w:rsidP="004D17B6">
            <w:pPr>
              <w:jc w:val="center"/>
            </w:pPr>
            <w:r>
              <w:t>4.85</w:t>
            </w:r>
          </w:p>
        </w:tc>
        <w:tc>
          <w:tcPr>
            <w:tcW w:w="1157" w:type="dxa"/>
          </w:tcPr>
          <w:p w14:paraId="193951A1" w14:textId="184FDCBE" w:rsidR="00217A9F" w:rsidRDefault="00A44315" w:rsidP="004D17B6">
            <w:pPr>
              <w:jc w:val="center"/>
            </w:pPr>
            <w:r>
              <w:t>47</w:t>
            </w:r>
          </w:p>
        </w:tc>
        <w:tc>
          <w:tcPr>
            <w:tcW w:w="3351" w:type="dxa"/>
          </w:tcPr>
          <w:p w14:paraId="46FD5425" w14:textId="7893A687" w:rsidR="00217A9F" w:rsidRPr="00A44315" w:rsidRDefault="00A44315" w:rsidP="004D17B6">
            <w:pPr>
              <w:jc w:val="center"/>
              <w:rPr>
                <w:vertAlign w:val="superscript"/>
              </w:rPr>
            </w:pPr>
            <w:r>
              <w:t>3.4 x 10</w:t>
            </w:r>
            <w:r>
              <w:rPr>
                <w:vertAlign w:val="superscript"/>
              </w:rPr>
              <w:t>-7</w:t>
            </w:r>
          </w:p>
        </w:tc>
      </w:tr>
    </w:tbl>
    <w:p w14:paraId="1D55CDD2" w14:textId="7241A240" w:rsidR="00217A9F" w:rsidRDefault="00217A9F" w:rsidP="00217A9F">
      <w:pPr>
        <w:rPr>
          <w:sz w:val="22"/>
          <w:szCs w:val="20"/>
        </w:rPr>
      </w:pPr>
      <w:r>
        <w:rPr>
          <w:sz w:val="22"/>
          <w:szCs w:val="20"/>
        </w:rPr>
        <w:t xml:space="preserve">Table </w:t>
      </w:r>
      <w:r>
        <w:rPr>
          <w:sz w:val="22"/>
          <w:szCs w:val="20"/>
        </w:rPr>
        <w:t>7</w:t>
      </w:r>
      <w:r>
        <w:rPr>
          <w:sz w:val="22"/>
          <w:szCs w:val="20"/>
        </w:rPr>
        <w:t xml:space="preserve">: Summarized table of the functionally enriched pathways as produced by DAVID for the </w:t>
      </w:r>
      <w:r>
        <w:rPr>
          <w:sz w:val="22"/>
          <w:szCs w:val="20"/>
        </w:rPr>
        <w:t>CAR/PXR</w:t>
      </w:r>
      <w:r>
        <w:rPr>
          <w:sz w:val="22"/>
          <w:szCs w:val="20"/>
        </w:rPr>
        <w:t xml:space="preserve"> subgroup.</w:t>
      </w:r>
    </w:p>
    <w:p w14:paraId="0A11C795" w14:textId="2C22696E" w:rsidR="00382FBF" w:rsidRDefault="007F0D20" w:rsidP="00CD59C9">
      <w:pPr>
        <w:ind w:firstLine="720"/>
        <w:jc w:val="both"/>
        <w:rPr>
          <w:sz w:val="22"/>
          <w:szCs w:val="20"/>
        </w:rPr>
      </w:pPr>
      <w:r w:rsidRPr="00590236">
        <w:t>Three heatmaps were produced, with one for each subgroup</w:t>
      </w:r>
      <w:r w:rsidR="0066483B" w:rsidRPr="00590236">
        <w:t xml:space="preserve"> to observe the clustering of the subgroups. In the DNA damage subgroup, the samples clustered separately with the controls. However, in the AhR subgroup, two of the samples clustered together while the third clustered with the controls. The CAR/PXR subgroup showed the best clustering with all three samples clustering together separate from the controls</w:t>
      </w:r>
      <w:r w:rsidR="0066483B">
        <w:rPr>
          <w:sz w:val="22"/>
          <w:szCs w:val="20"/>
        </w:rPr>
        <w:t xml:space="preserve">. </w:t>
      </w:r>
    </w:p>
    <w:p w14:paraId="20D32482" w14:textId="247B0C41" w:rsidR="007F0D20" w:rsidRDefault="007F0D20" w:rsidP="007F0D20">
      <w:pPr>
        <w:jc w:val="center"/>
        <w:rPr>
          <w:sz w:val="22"/>
          <w:szCs w:val="20"/>
        </w:rPr>
      </w:pPr>
      <w:r>
        <w:rPr>
          <w:noProof/>
          <w:sz w:val="22"/>
          <w:szCs w:val="20"/>
        </w:rPr>
        <w:lastRenderedPageBreak/>
        <w:drawing>
          <wp:inline distT="0" distB="0" distL="0" distR="0" wp14:anchorId="15CA362B" wp14:editId="091FCFFF">
            <wp:extent cx="3172571" cy="2477374"/>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8264" cy="2489628"/>
                    </a:xfrm>
                    <a:prstGeom prst="rect">
                      <a:avLst/>
                    </a:prstGeom>
                    <a:noFill/>
                    <a:ln>
                      <a:noFill/>
                    </a:ln>
                  </pic:spPr>
                </pic:pic>
              </a:graphicData>
            </a:graphic>
          </wp:inline>
        </w:drawing>
      </w:r>
    </w:p>
    <w:p w14:paraId="1F91F04F" w14:textId="6A1C8BDE" w:rsidR="007F0D20" w:rsidRDefault="007F0D20" w:rsidP="007F0D20">
      <w:pPr>
        <w:jc w:val="center"/>
        <w:rPr>
          <w:sz w:val="22"/>
          <w:szCs w:val="20"/>
        </w:rPr>
      </w:pPr>
      <w:r>
        <w:rPr>
          <w:sz w:val="22"/>
          <w:szCs w:val="20"/>
        </w:rPr>
        <w:t>Figure 5: Heatmap showing clustering of DNA damage subgroup with the control samples. Blue indicates upregulation while red indicates down-regulated genes.</w:t>
      </w:r>
    </w:p>
    <w:p w14:paraId="1A941AFB" w14:textId="3ED0B0BF" w:rsidR="007F0D20" w:rsidRDefault="007F0D20" w:rsidP="007F0D20">
      <w:pPr>
        <w:jc w:val="center"/>
        <w:rPr>
          <w:sz w:val="22"/>
          <w:szCs w:val="20"/>
        </w:rPr>
      </w:pPr>
      <w:r>
        <w:rPr>
          <w:noProof/>
          <w:sz w:val="22"/>
          <w:szCs w:val="20"/>
        </w:rPr>
        <w:drawing>
          <wp:inline distT="0" distB="0" distL="0" distR="0" wp14:anchorId="0620A794" wp14:editId="2F6E8AD4">
            <wp:extent cx="3390802" cy="2647784"/>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4714" cy="2666456"/>
                    </a:xfrm>
                    <a:prstGeom prst="rect">
                      <a:avLst/>
                    </a:prstGeom>
                    <a:noFill/>
                    <a:ln>
                      <a:noFill/>
                    </a:ln>
                  </pic:spPr>
                </pic:pic>
              </a:graphicData>
            </a:graphic>
          </wp:inline>
        </w:drawing>
      </w:r>
    </w:p>
    <w:p w14:paraId="535FB954" w14:textId="740E2BB6" w:rsidR="007F0D20" w:rsidRDefault="007F0D20" w:rsidP="007F0D20">
      <w:pPr>
        <w:jc w:val="center"/>
        <w:rPr>
          <w:sz w:val="22"/>
          <w:szCs w:val="20"/>
        </w:rPr>
      </w:pPr>
      <w:r>
        <w:rPr>
          <w:sz w:val="22"/>
          <w:szCs w:val="20"/>
        </w:rPr>
        <w:t xml:space="preserve">Figure </w:t>
      </w:r>
      <w:r>
        <w:rPr>
          <w:sz w:val="22"/>
          <w:szCs w:val="20"/>
        </w:rPr>
        <w:t>6</w:t>
      </w:r>
      <w:r>
        <w:rPr>
          <w:sz w:val="22"/>
          <w:szCs w:val="20"/>
        </w:rPr>
        <w:t xml:space="preserve">: Heatmap showing clustering of </w:t>
      </w:r>
      <w:r>
        <w:rPr>
          <w:sz w:val="22"/>
          <w:szCs w:val="20"/>
        </w:rPr>
        <w:t>AhR</w:t>
      </w:r>
      <w:r>
        <w:rPr>
          <w:sz w:val="22"/>
          <w:szCs w:val="20"/>
        </w:rPr>
        <w:t xml:space="preserve"> subgroup with the control samples. Blue indicates upregulation while red indicates down-regulated genes.</w:t>
      </w:r>
    </w:p>
    <w:p w14:paraId="67195F09" w14:textId="190FB393" w:rsidR="007F0D20" w:rsidRDefault="007F0D20" w:rsidP="007F0D20">
      <w:pPr>
        <w:jc w:val="center"/>
        <w:rPr>
          <w:sz w:val="22"/>
          <w:szCs w:val="20"/>
        </w:rPr>
      </w:pPr>
      <w:r>
        <w:rPr>
          <w:noProof/>
          <w:sz w:val="22"/>
          <w:szCs w:val="20"/>
        </w:rPr>
        <w:drawing>
          <wp:inline distT="0" distB="0" distL="0" distR="0" wp14:anchorId="60F517CC" wp14:editId="0A2719A6">
            <wp:extent cx="3034412" cy="23694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0841" cy="2382318"/>
                    </a:xfrm>
                    <a:prstGeom prst="rect">
                      <a:avLst/>
                    </a:prstGeom>
                    <a:noFill/>
                    <a:ln>
                      <a:noFill/>
                    </a:ln>
                  </pic:spPr>
                </pic:pic>
              </a:graphicData>
            </a:graphic>
          </wp:inline>
        </w:drawing>
      </w:r>
    </w:p>
    <w:p w14:paraId="0A68BFB5" w14:textId="67DAE9AF" w:rsidR="007F0D20" w:rsidRPr="00382FBF" w:rsidRDefault="007F0D20" w:rsidP="007F0D20">
      <w:pPr>
        <w:jc w:val="center"/>
        <w:rPr>
          <w:sz w:val="22"/>
          <w:szCs w:val="20"/>
        </w:rPr>
      </w:pPr>
      <w:r>
        <w:rPr>
          <w:sz w:val="22"/>
          <w:szCs w:val="20"/>
        </w:rPr>
        <w:lastRenderedPageBreak/>
        <w:t xml:space="preserve">Figure </w:t>
      </w:r>
      <w:r>
        <w:rPr>
          <w:sz w:val="22"/>
          <w:szCs w:val="20"/>
        </w:rPr>
        <w:t>7</w:t>
      </w:r>
      <w:r>
        <w:rPr>
          <w:sz w:val="22"/>
          <w:szCs w:val="20"/>
        </w:rPr>
        <w:t xml:space="preserve">: Heatmap showing clustering of </w:t>
      </w:r>
      <w:r>
        <w:rPr>
          <w:sz w:val="22"/>
          <w:szCs w:val="20"/>
        </w:rPr>
        <w:t>CAR/PXR</w:t>
      </w:r>
      <w:r>
        <w:rPr>
          <w:sz w:val="22"/>
          <w:szCs w:val="20"/>
        </w:rPr>
        <w:t xml:space="preserve"> subgroup with the control samples. Blue indicates upregulation while red indicates down-regulated genes.</w:t>
      </w:r>
    </w:p>
    <w:p w14:paraId="3BE734AD" w14:textId="561AA317" w:rsidR="00EB1DFA" w:rsidRPr="00965065" w:rsidRDefault="00EB1DFA">
      <w:pPr>
        <w:rPr>
          <w:u w:val="single"/>
        </w:rPr>
      </w:pPr>
      <w:r w:rsidRPr="00965065">
        <w:rPr>
          <w:u w:val="single"/>
        </w:rPr>
        <w:t>Discussion:</w:t>
      </w:r>
    </w:p>
    <w:p w14:paraId="1D2922E3" w14:textId="0A402783" w:rsidR="00740F6C" w:rsidRDefault="00267C4F" w:rsidP="000134F0">
      <w:pPr>
        <w:jc w:val="both"/>
      </w:pPr>
      <w:r>
        <w:tab/>
        <w:t>Th</w:t>
      </w:r>
      <w:r w:rsidR="00F7053D">
        <w:t>is project aimed to process the RNA-</w:t>
      </w:r>
      <w:proofErr w:type="spellStart"/>
      <w:r w:rsidR="00F7053D">
        <w:t>seq</w:t>
      </w:r>
      <w:proofErr w:type="spellEnd"/>
      <w:r w:rsidR="00F7053D">
        <w:t xml:space="preserve"> data, perform differential expression analysis on it and </w:t>
      </w:r>
      <w:r w:rsidR="000134F0">
        <w:t xml:space="preserve">understand the results with the help of functional enrichment and clustering. </w:t>
      </w:r>
      <w:r w:rsidR="00B51175">
        <w:t>Read counting was performed successfully using featureCounts</w:t>
      </w:r>
      <w:r w:rsidR="0021323D">
        <w:t xml:space="preserve"> with good mapping</w:t>
      </w:r>
      <w:r w:rsidR="006115A6">
        <w:t>, with the lowest mapped sample still at over 55% uniquely mapped</w:t>
      </w:r>
      <w:r w:rsidR="0021323D">
        <w:t>.</w:t>
      </w:r>
      <w:r w:rsidR="006115A6">
        <w:t xml:space="preserve"> Normalization and d</w:t>
      </w:r>
      <w:r w:rsidR="000134F0">
        <w:t xml:space="preserve">ifferential expression </w:t>
      </w:r>
      <w:r w:rsidR="003F0CDE">
        <w:t>were</w:t>
      </w:r>
      <w:r w:rsidR="006115A6">
        <w:t xml:space="preserve"> then</w:t>
      </w:r>
      <w:r w:rsidR="00B51175">
        <w:t xml:space="preserve"> </w:t>
      </w:r>
      <w:r w:rsidR="000134F0">
        <w:t xml:space="preserve">performed using DESeq2 </w:t>
      </w:r>
      <w:r w:rsidR="00B51175">
        <w:t xml:space="preserve">and resulted in the identification of 91, 1389 and 3499 differentially expressed genes for the three subgroups (DNA damage, AhR and CAR/PXR respectively) in the chosen tox-group. </w:t>
      </w:r>
    </w:p>
    <w:p w14:paraId="56EF80DF" w14:textId="722DBC3B" w:rsidR="006942F4" w:rsidRPr="00C972C7" w:rsidRDefault="00740F6C" w:rsidP="00740F6C">
      <w:pPr>
        <w:ind w:firstLine="720"/>
        <w:jc w:val="both"/>
      </w:pPr>
      <w:r>
        <w:t>F</w:t>
      </w:r>
      <w:r w:rsidR="00B51175">
        <w:t xml:space="preserve">unctional enrichment analysis performed using DAVID did not result in the identification of many pathways that </w:t>
      </w:r>
      <w:r w:rsidR="003F0CDE">
        <w:t>overlapped</w:t>
      </w:r>
      <w:r w:rsidR="00B51175">
        <w:t xml:space="preserve"> with Wang </w:t>
      </w:r>
      <w:r w:rsidR="00B51175">
        <w:rPr>
          <w:i/>
          <w:iCs/>
        </w:rPr>
        <w:t>et al.</w:t>
      </w:r>
      <w:r w:rsidR="00B51175">
        <w:t>’s results.</w:t>
      </w:r>
      <w:r>
        <w:t xml:space="preserve"> </w:t>
      </w:r>
      <w:r w:rsidR="003F0CDE">
        <w:t>But, w</w:t>
      </w:r>
      <w:r w:rsidR="00121922">
        <w:t>hile</w:t>
      </w:r>
      <w:r w:rsidR="00C972C7">
        <w:t xml:space="preserve"> the enriched pathways did not show direct matches, it was observed that Wang </w:t>
      </w:r>
      <w:r w:rsidR="00C972C7">
        <w:rPr>
          <w:i/>
          <w:iCs/>
        </w:rPr>
        <w:t>et al.</w:t>
      </w:r>
      <w:r w:rsidR="00BA47F2">
        <w:t>’s results had pathways largely associated with detoxification, drug metabolism</w:t>
      </w:r>
      <w:r w:rsidR="0057048D">
        <w:t xml:space="preserve"> and cell cycle. This </w:t>
      </w:r>
      <w:r w:rsidR="004D5E02">
        <w:t>agrees with the results produced by DAVID</w:t>
      </w:r>
      <w:r w:rsidR="00590236">
        <w:t xml:space="preserve">. A likely reason for the lack of more direct matches is due to the differences in the processing pipeline. </w:t>
      </w:r>
      <w:r w:rsidR="00D35FCB">
        <w:t xml:space="preserve">Modifying the pipeline to account for this should result in more overlapping results. </w:t>
      </w:r>
    </w:p>
    <w:p w14:paraId="6D85A685" w14:textId="7D818B8A" w:rsidR="006942F4" w:rsidRPr="00965065" w:rsidRDefault="006942F4">
      <w:pPr>
        <w:rPr>
          <w:u w:val="single"/>
        </w:rPr>
      </w:pPr>
      <w:r w:rsidRPr="00965065">
        <w:rPr>
          <w:u w:val="single"/>
        </w:rPr>
        <w:t>References:</w:t>
      </w:r>
    </w:p>
    <w:p w14:paraId="6DD3252B" w14:textId="2CA24526" w:rsidR="00965065" w:rsidRPr="00A2652E" w:rsidRDefault="00F873F0" w:rsidP="00965065">
      <w:pPr>
        <w:pStyle w:val="ListParagraph"/>
        <w:numPr>
          <w:ilvl w:val="0"/>
          <w:numId w:val="1"/>
        </w:numPr>
        <w:rPr>
          <w:sz w:val="22"/>
          <w:szCs w:val="20"/>
        </w:rPr>
      </w:pPr>
      <w:r w:rsidRPr="00A2652E">
        <w:rPr>
          <w:sz w:val="22"/>
          <w:szCs w:val="20"/>
        </w:rPr>
        <w:t>Wang, C., Gong, B., Bushel, P. R., Thierry-</w:t>
      </w:r>
      <w:proofErr w:type="spellStart"/>
      <w:r w:rsidRPr="00A2652E">
        <w:rPr>
          <w:sz w:val="22"/>
          <w:szCs w:val="20"/>
        </w:rPr>
        <w:t>Mieg</w:t>
      </w:r>
      <w:proofErr w:type="spellEnd"/>
      <w:r w:rsidRPr="00A2652E">
        <w:rPr>
          <w:sz w:val="22"/>
          <w:szCs w:val="20"/>
        </w:rPr>
        <w:t>, J., Thierry-</w:t>
      </w:r>
      <w:proofErr w:type="spellStart"/>
      <w:r w:rsidRPr="00A2652E">
        <w:rPr>
          <w:sz w:val="22"/>
          <w:szCs w:val="20"/>
        </w:rPr>
        <w:t>Mieg</w:t>
      </w:r>
      <w:proofErr w:type="spellEnd"/>
      <w:r w:rsidRPr="00A2652E">
        <w:rPr>
          <w:sz w:val="22"/>
          <w:szCs w:val="20"/>
        </w:rPr>
        <w:t xml:space="preserve">, D., Xu, J., Fang, H., Hong, H., Shen, J., </w:t>
      </w:r>
      <w:proofErr w:type="spellStart"/>
      <w:r w:rsidRPr="00A2652E">
        <w:rPr>
          <w:sz w:val="22"/>
          <w:szCs w:val="20"/>
        </w:rPr>
        <w:t>Su</w:t>
      </w:r>
      <w:proofErr w:type="spellEnd"/>
      <w:r w:rsidRPr="00A2652E">
        <w:rPr>
          <w:sz w:val="22"/>
          <w:szCs w:val="20"/>
        </w:rPr>
        <w:t xml:space="preserve">, Z., Meehan, J., Li, X., Yang, L., Li, H., </w:t>
      </w:r>
      <w:proofErr w:type="spellStart"/>
      <w:r w:rsidRPr="00A2652E">
        <w:rPr>
          <w:sz w:val="22"/>
          <w:szCs w:val="20"/>
        </w:rPr>
        <w:t>Łabaj</w:t>
      </w:r>
      <w:proofErr w:type="spellEnd"/>
      <w:r w:rsidRPr="00A2652E">
        <w:rPr>
          <w:sz w:val="22"/>
          <w:szCs w:val="20"/>
        </w:rPr>
        <w:t xml:space="preserve">, P. P., </w:t>
      </w:r>
      <w:proofErr w:type="spellStart"/>
      <w:r w:rsidRPr="00A2652E">
        <w:rPr>
          <w:sz w:val="22"/>
          <w:szCs w:val="20"/>
        </w:rPr>
        <w:t>Kreil</w:t>
      </w:r>
      <w:proofErr w:type="spellEnd"/>
      <w:r w:rsidRPr="00A2652E">
        <w:rPr>
          <w:sz w:val="22"/>
          <w:szCs w:val="20"/>
        </w:rPr>
        <w:t xml:space="preserve">, D. P., </w:t>
      </w:r>
      <w:proofErr w:type="spellStart"/>
      <w:r w:rsidRPr="00A2652E">
        <w:rPr>
          <w:sz w:val="22"/>
          <w:szCs w:val="20"/>
        </w:rPr>
        <w:t>Megherbi</w:t>
      </w:r>
      <w:proofErr w:type="spellEnd"/>
      <w:r w:rsidRPr="00A2652E">
        <w:rPr>
          <w:sz w:val="22"/>
          <w:szCs w:val="20"/>
        </w:rPr>
        <w:t xml:space="preserve">, D., </w:t>
      </w:r>
      <w:proofErr w:type="spellStart"/>
      <w:r w:rsidRPr="00A2652E">
        <w:rPr>
          <w:sz w:val="22"/>
          <w:szCs w:val="20"/>
        </w:rPr>
        <w:t>Gaj</w:t>
      </w:r>
      <w:proofErr w:type="spellEnd"/>
      <w:r w:rsidRPr="00A2652E">
        <w:rPr>
          <w:sz w:val="22"/>
          <w:szCs w:val="20"/>
        </w:rPr>
        <w:t xml:space="preserve">, S., </w:t>
      </w:r>
      <w:proofErr w:type="spellStart"/>
      <w:r w:rsidRPr="00A2652E">
        <w:rPr>
          <w:sz w:val="22"/>
          <w:szCs w:val="20"/>
        </w:rPr>
        <w:t>Caiment</w:t>
      </w:r>
      <w:proofErr w:type="spellEnd"/>
      <w:r w:rsidRPr="00A2652E">
        <w:rPr>
          <w:sz w:val="22"/>
          <w:szCs w:val="20"/>
        </w:rPr>
        <w:t>, F., van Delft, J., … Tong, W. (2014). The concordance between RNA-</w:t>
      </w:r>
      <w:proofErr w:type="spellStart"/>
      <w:r w:rsidRPr="00A2652E">
        <w:rPr>
          <w:sz w:val="22"/>
          <w:szCs w:val="20"/>
        </w:rPr>
        <w:t>seq</w:t>
      </w:r>
      <w:proofErr w:type="spellEnd"/>
      <w:r w:rsidRPr="00A2652E">
        <w:rPr>
          <w:sz w:val="22"/>
          <w:szCs w:val="20"/>
        </w:rPr>
        <w:t xml:space="preserve"> and microarray data depends on chemical treatment and transcript abundance. </w:t>
      </w:r>
      <w:r w:rsidRPr="00A2652E">
        <w:rPr>
          <w:i/>
          <w:iCs/>
          <w:sz w:val="22"/>
          <w:szCs w:val="20"/>
        </w:rPr>
        <w:t>Nature biotechnology</w:t>
      </w:r>
      <w:r w:rsidRPr="00A2652E">
        <w:rPr>
          <w:sz w:val="22"/>
          <w:szCs w:val="20"/>
        </w:rPr>
        <w:t xml:space="preserve">, </w:t>
      </w:r>
      <w:r w:rsidRPr="00A2652E">
        <w:rPr>
          <w:i/>
          <w:iCs/>
          <w:sz w:val="22"/>
          <w:szCs w:val="20"/>
        </w:rPr>
        <w:t>32</w:t>
      </w:r>
      <w:r w:rsidRPr="00A2652E">
        <w:rPr>
          <w:sz w:val="22"/>
          <w:szCs w:val="20"/>
        </w:rPr>
        <w:t xml:space="preserve">(9), 926–932. </w:t>
      </w:r>
      <w:hyperlink r:id="rId17" w:history="1">
        <w:r w:rsidRPr="00A2652E">
          <w:rPr>
            <w:rStyle w:val="Hyperlink"/>
            <w:sz w:val="22"/>
            <w:szCs w:val="20"/>
          </w:rPr>
          <w:t>https://doi.org/10.1038/nbt.3001</w:t>
        </w:r>
      </w:hyperlink>
    </w:p>
    <w:p w14:paraId="4E6D053D" w14:textId="177B6FF0" w:rsidR="00F873F0" w:rsidRPr="00A2652E" w:rsidRDefault="00F873F0" w:rsidP="00F873F0">
      <w:pPr>
        <w:pStyle w:val="ListParagraph"/>
        <w:numPr>
          <w:ilvl w:val="0"/>
          <w:numId w:val="1"/>
        </w:numPr>
        <w:spacing w:after="0" w:line="240" w:lineRule="auto"/>
        <w:rPr>
          <w:rFonts w:eastAsia="Times New Roman" w:cs="Times New Roman"/>
          <w:sz w:val="22"/>
          <w:lang w:eastAsia="en-IN"/>
        </w:rPr>
      </w:pPr>
      <w:r w:rsidRPr="00A2652E">
        <w:rPr>
          <w:rFonts w:eastAsia="Times New Roman" w:cs="Times New Roman"/>
          <w:sz w:val="22"/>
          <w:lang w:eastAsia="en-IN"/>
        </w:rPr>
        <w:t xml:space="preserve">Liao Y, Smyth GK, Shi W. featureCounts: an efficient </w:t>
      </w:r>
      <w:r w:rsidR="008F764A" w:rsidRPr="00A2652E">
        <w:rPr>
          <w:rFonts w:eastAsia="Times New Roman" w:cs="Times New Roman"/>
          <w:sz w:val="22"/>
          <w:lang w:eastAsia="en-IN"/>
        </w:rPr>
        <w:t>general-purpose</w:t>
      </w:r>
      <w:r w:rsidRPr="00A2652E">
        <w:rPr>
          <w:rFonts w:eastAsia="Times New Roman" w:cs="Times New Roman"/>
          <w:sz w:val="22"/>
          <w:lang w:eastAsia="en-IN"/>
        </w:rPr>
        <w:t xml:space="preserve"> program for assigning sequence reads to genomic features. Bioinformatics. 2014 Apr 1;30(7):923-30. </w:t>
      </w:r>
      <w:proofErr w:type="spellStart"/>
      <w:r w:rsidRPr="00A2652E">
        <w:rPr>
          <w:rFonts w:eastAsia="Times New Roman" w:cs="Times New Roman"/>
          <w:sz w:val="22"/>
          <w:lang w:eastAsia="en-IN"/>
        </w:rPr>
        <w:t>doi</w:t>
      </w:r>
      <w:proofErr w:type="spellEnd"/>
      <w:r w:rsidRPr="00A2652E">
        <w:rPr>
          <w:rFonts w:eastAsia="Times New Roman" w:cs="Times New Roman"/>
          <w:sz w:val="22"/>
          <w:lang w:eastAsia="en-IN"/>
        </w:rPr>
        <w:t xml:space="preserve">: 10.1093/bioinformatics/btt656. </w:t>
      </w:r>
      <w:proofErr w:type="spellStart"/>
      <w:r w:rsidRPr="00A2652E">
        <w:rPr>
          <w:rFonts w:eastAsia="Times New Roman" w:cs="Times New Roman"/>
          <w:sz w:val="22"/>
          <w:lang w:eastAsia="en-IN"/>
        </w:rPr>
        <w:t>Epub</w:t>
      </w:r>
      <w:proofErr w:type="spellEnd"/>
      <w:r w:rsidRPr="00A2652E">
        <w:rPr>
          <w:rFonts w:eastAsia="Times New Roman" w:cs="Times New Roman"/>
          <w:sz w:val="22"/>
          <w:lang w:eastAsia="en-IN"/>
        </w:rPr>
        <w:t xml:space="preserve"> 2013 Nov 13. PMID: 24227677.</w:t>
      </w:r>
    </w:p>
    <w:p w14:paraId="31F421E8" w14:textId="77777777" w:rsidR="00C725E0" w:rsidRPr="00A2652E" w:rsidRDefault="00C725E0" w:rsidP="00C725E0">
      <w:pPr>
        <w:pStyle w:val="ListParagraph"/>
        <w:numPr>
          <w:ilvl w:val="0"/>
          <w:numId w:val="1"/>
        </w:numPr>
        <w:spacing w:after="0" w:line="240" w:lineRule="auto"/>
        <w:rPr>
          <w:rFonts w:eastAsia="Times New Roman" w:cs="Times New Roman"/>
          <w:sz w:val="22"/>
          <w:lang w:eastAsia="en-IN"/>
        </w:rPr>
      </w:pPr>
      <w:proofErr w:type="spellStart"/>
      <w:r w:rsidRPr="00A2652E">
        <w:rPr>
          <w:rFonts w:eastAsia="Times New Roman" w:cs="Times New Roman"/>
          <w:sz w:val="22"/>
          <w:lang w:eastAsia="en-IN"/>
        </w:rPr>
        <w:t>Ewels</w:t>
      </w:r>
      <w:proofErr w:type="spellEnd"/>
      <w:r w:rsidRPr="00A2652E">
        <w:rPr>
          <w:rFonts w:eastAsia="Times New Roman" w:cs="Times New Roman"/>
          <w:sz w:val="22"/>
          <w:lang w:eastAsia="en-IN"/>
        </w:rPr>
        <w:t xml:space="preserve">, P., Magnusson, M., Lundin, S., &amp; </w:t>
      </w:r>
      <w:proofErr w:type="spellStart"/>
      <w:r w:rsidRPr="00A2652E">
        <w:rPr>
          <w:rFonts w:eastAsia="Times New Roman" w:cs="Times New Roman"/>
          <w:sz w:val="22"/>
          <w:lang w:eastAsia="en-IN"/>
        </w:rPr>
        <w:t>Käller</w:t>
      </w:r>
      <w:proofErr w:type="spellEnd"/>
      <w:r w:rsidRPr="00A2652E">
        <w:rPr>
          <w:rFonts w:eastAsia="Times New Roman" w:cs="Times New Roman"/>
          <w:sz w:val="22"/>
          <w:lang w:eastAsia="en-IN"/>
        </w:rPr>
        <w:t xml:space="preserve">, M. (2016). </w:t>
      </w:r>
      <w:proofErr w:type="spellStart"/>
      <w:r w:rsidRPr="00A2652E">
        <w:rPr>
          <w:rFonts w:eastAsia="Times New Roman" w:cs="Times New Roman"/>
          <w:sz w:val="22"/>
          <w:lang w:eastAsia="en-IN"/>
        </w:rPr>
        <w:t>MultiQC</w:t>
      </w:r>
      <w:proofErr w:type="spellEnd"/>
      <w:r w:rsidRPr="00A2652E">
        <w:rPr>
          <w:rFonts w:eastAsia="Times New Roman" w:cs="Times New Roman"/>
          <w:sz w:val="22"/>
          <w:lang w:eastAsia="en-IN"/>
        </w:rPr>
        <w:t xml:space="preserve">: summarize analysis results for multiple tools and samples in a single report. </w:t>
      </w:r>
      <w:r w:rsidRPr="00A2652E">
        <w:rPr>
          <w:rFonts w:eastAsia="Times New Roman" w:cs="Times New Roman"/>
          <w:i/>
          <w:iCs/>
          <w:sz w:val="22"/>
          <w:lang w:eastAsia="en-IN"/>
        </w:rPr>
        <w:t>Bioinformatics</w:t>
      </w:r>
      <w:r w:rsidRPr="00A2652E">
        <w:rPr>
          <w:rFonts w:eastAsia="Times New Roman" w:cs="Times New Roman"/>
          <w:sz w:val="22"/>
          <w:lang w:eastAsia="en-IN"/>
        </w:rPr>
        <w:t xml:space="preserve">, </w:t>
      </w:r>
      <w:r w:rsidRPr="00A2652E">
        <w:rPr>
          <w:rFonts w:eastAsia="Times New Roman" w:cs="Times New Roman"/>
          <w:i/>
          <w:iCs/>
          <w:sz w:val="22"/>
          <w:lang w:eastAsia="en-IN"/>
        </w:rPr>
        <w:t>32</w:t>
      </w:r>
      <w:r w:rsidRPr="00A2652E">
        <w:rPr>
          <w:rFonts w:eastAsia="Times New Roman" w:cs="Times New Roman"/>
          <w:sz w:val="22"/>
          <w:lang w:eastAsia="en-IN"/>
        </w:rPr>
        <w:t>(19), 3047-3048.</w:t>
      </w:r>
    </w:p>
    <w:p w14:paraId="5EE0F609" w14:textId="7ADEEC83" w:rsidR="008F764A" w:rsidRPr="00A2652E" w:rsidRDefault="008F764A" w:rsidP="008F764A">
      <w:pPr>
        <w:pStyle w:val="ListParagraph"/>
        <w:numPr>
          <w:ilvl w:val="0"/>
          <w:numId w:val="1"/>
        </w:numPr>
        <w:rPr>
          <w:sz w:val="22"/>
          <w:szCs w:val="20"/>
        </w:rPr>
      </w:pPr>
      <w:r w:rsidRPr="008F764A">
        <w:rPr>
          <w:sz w:val="22"/>
          <w:szCs w:val="20"/>
        </w:rPr>
        <w:t xml:space="preserve">  R Core Team (2018). R: A language and environment for statistical</w:t>
      </w:r>
      <w:r w:rsidRPr="00A2652E">
        <w:rPr>
          <w:sz w:val="22"/>
          <w:szCs w:val="20"/>
        </w:rPr>
        <w:t xml:space="preserve"> </w:t>
      </w:r>
      <w:r w:rsidRPr="00A2652E">
        <w:rPr>
          <w:sz w:val="22"/>
          <w:szCs w:val="20"/>
        </w:rPr>
        <w:t>computing. R Foundation for Statistical Computing, Vienna, Austria.</w:t>
      </w:r>
      <w:r w:rsidRPr="00A2652E">
        <w:rPr>
          <w:sz w:val="22"/>
          <w:szCs w:val="20"/>
        </w:rPr>
        <w:t xml:space="preserve"> </w:t>
      </w:r>
      <w:r w:rsidRPr="00A2652E">
        <w:rPr>
          <w:sz w:val="22"/>
          <w:szCs w:val="20"/>
        </w:rPr>
        <w:t>URL https://www.R-project.org/.</w:t>
      </w:r>
    </w:p>
    <w:p w14:paraId="5EA27CA0" w14:textId="77777777" w:rsidR="008F764A" w:rsidRPr="008F764A" w:rsidRDefault="008F764A" w:rsidP="008F764A">
      <w:pPr>
        <w:pStyle w:val="ListParagraph"/>
        <w:numPr>
          <w:ilvl w:val="0"/>
          <w:numId w:val="1"/>
        </w:numPr>
        <w:rPr>
          <w:sz w:val="22"/>
          <w:szCs w:val="20"/>
        </w:rPr>
      </w:pPr>
      <w:r w:rsidRPr="008F764A">
        <w:rPr>
          <w:sz w:val="22"/>
          <w:szCs w:val="20"/>
        </w:rPr>
        <w:t xml:space="preserve">Love, M., Anders, S., &amp; Huber, W. (2014). Differential analysis of count data–the DESeq2 package. </w:t>
      </w:r>
      <w:r w:rsidRPr="008F764A">
        <w:rPr>
          <w:i/>
          <w:iCs/>
          <w:sz w:val="22"/>
          <w:szCs w:val="20"/>
        </w:rPr>
        <w:t xml:space="preserve">Genome </w:t>
      </w:r>
      <w:proofErr w:type="spellStart"/>
      <w:r w:rsidRPr="008F764A">
        <w:rPr>
          <w:i/>
          <w:iCs/>
          <w:sz w:val="22"/>
          <w:szCs w:val="20"/>
        </w:rPr>
        <w:t>Biol</w:t>
      </w:r>
      <w:proofErr w:type="spellEnd"/>
      <w:r w:rsidRPr="008F764A">
        <w:rPr>
          <w:sz w:val="22"/>
          <w:szCs w:val="20"/>
        </w:rPr>
        <w:t xml:space="preserve">, </w:t>
      </w:r>
      <w:r w:rsidRPr="008F764A">
        <w:rPr>
          <w:i/>
          <w:iCs/>
          <w:sz w:val="22"/>
          <w:szCs w:val="20"/>
        </w:rPr>
        <w:t>15</w:t>
      </w:r>
      <w:r w:rsidRPr="008F764A">
        <w:rPr>
          <w:sz w:val="22"/>
          <w:szCs w:val="20"/>
        </w:rPr>
        <w:t>(550), 10-1186.</w:t>
      </w:r>
    </w:p>
    <w:p w14:paraId="14C3D202" w14:textId="17D609F5" w:rsidR="008F764A" w:rsidRPr="008F764A" w:rsidRDefault="008F764A" w:rsidP="008F764A">
      <w:pPr>
        <w:pStyle w:val="ListParagraph"/>
        <w:numPr>
          <w:ilvl w:val="0"/>
          <w:numId w:val="1"/>
        </w:numPr>
        <w:rPr>
          <w:sz w:val="22"/>
          <w:szCs w:val="20"/>
        </w:rPr>
      </w:pPr>
      <w:r w:rsidRPr="008F764A">
        <w:rPr>
          <w:sz w:val="22"/>
          <w:szCs w:val="20"/>
        </w:rPr>
        <w:t xml:space="preserve">Wickham, H., </w:t>
      </w:r>
      <w:proofErr w:type="spellStart"/>
      <w:r w:rsidRPr="008F764A">
        <w:rPr>
          <w:sz w:val="22"/>
          <w:szCs w:val="20"/>
        </w:rPr>
        <w:t>Averick</w:t>
      </w:r>
      <w:proofErr w:type="spellEnd"/>
      <w:r w:rsidRPr="008F764A">
        <w:rPr>
          <w:sz w:val="22"/>
          <w:szCs w:val="20"/>
        </w:rPr>
        <w:t xml:space="preserve">, M., Bryan, J., Chang, W., McGowan, L. D. A., François, R., ... &amp; </w:t>
      </w:r>
      <w:proofErr w:type="spellStart"/>
      <w:r w:rsidRPr="008F764A">
        <w:rPr>
          <w:sz w:val="22"/>
          <w:szCs w:val="20"/>
        </w:rPr>
        <w:t>Yutani</w:t>
      </w:r>
      <w:proofErr w:type="spellEnd"/>
      <w:r w:rsidRPr="008F764A">
        <w:rPr>
          <w:sz w:val="22"/>
          <w:szCs w:val="20"/>
        </w:rPr>
        <w:t xml:space="preserve">, H. (2019). Welcome to the Tidyverse. </w:t>
      </w:r>
      <w:r w:rsidRPr="008F764A">
        <w:rPr>
          <w:i/>
          <w:iCs/>
          <w:sz w:val="22"/>
          <w:szCs w:val="20"/>
        </w:rPr>
        <w:t xml:space="preserve">Journal of </w:t>
      </w:r>
      <w:r w:rsidRPr="00A2652E">
        <w:rPr>
          <w:i/>
          <w:iCs/>
          <w:sz w:val="22"/>
          <w:szCs w:val="20"/>
        </w:rPr>
        <w:t>open-source</w:t>
      </w:r>
      <w:r w:rsidRPr="008F764A">
        <w:rPr>
          <w:i/>
          <w:iCs/>
          <w:sz w:val="22"/>
          <w:szCs w:val="20"/>
        </w:rPr>
        <w:t xml:space="preserve"> software</w:t>
      </w:r>
      <w:r w:rsidRPr="008F764A">
        <w:rPr>
          <w:sz w:val="22"/>
          <w:szCs w:val="20"/>
        </w:rPr>
        <w:t xml:space="preserve">, </w:t>
      </w:r>
      <w:r w:rsidRPr="008F764A">
        <w:rPr>
          <w:i/>
          <w:iCs/>
          <w:sz w:val="22"/>
          <w:szCs w:val="20"/>
        </w:rPr>
        <w:t>4</w:t>
      </w:r>
      <w:r w:rsidRPr="008F764A">
        <w:rPr>
          <w:sz w:val="22"/>
          <w:szCs w:val="20"/>
        </w:rPr>
        <w:t>(43), 1686.</w:t>
      </w:r>
    </w:p>
    <w:p w14:paraId="03931517" w14:textId="13179752" w:rsidR="008F764A" w:rsidRPr="00A2652E" w:rsidRDefault="008F764A" w:rsidP="008F764A">
      <w:pPr>
        <w:pStyle w:val="ListParagraph"/>
        <w:numPr>
          <w:ilvl w:val="0"/>
          <w:numId w:val="1"/>
        </w:numPr>
        <w:rPr>
          <w:sz w:val="22"/>
          <w:szCs w:val="20"/>
        </w:rPr>
      </w:pPr>
      <w:r w:rsidRPr="008F764A">
        <w:rPr>
          <w:sz w:val="22"/>
          <w:szCs w:val="20"/>
        </w:rPr>
        <w:t xml:space="preserve">Wickham, H. (2011). ggplot2. </w:t>
      </w:r>
      <w:r w:rsidRPr="008F764A">
        <w:rPr>
          <w:i/>
          <w:iCs/>
          <w:sz w:val="22"/>
          <w:szCs w:val="20"/>
        </w:rPr>
        <w:t>Wiley interdisciplinary reviews: computational statistics</w:t>
      </w:r>
      <w:r w:rsidRPr="008F764A">
        <w:rPr>
          <w:sz w:val="22"/>
          <w:szCs w:val="20"/>
        </w:rPr>
        <w:t xml:space="preserve">, </w:t>
      </w:r>
      <w:r w:rsidRPr="008F764A">
        <w:rPr>
          <w:i/>
          <w:iCs/>
          <w:sz w:val="22"/>
          <w:szCs w:val="20"/>
        </w:rPr>
        <w:t>3</w:t>
      </w:r>
      <w:r w:rsidRPr="008F764A">
        <w:rPr>
          <w:sz w:val="22"/>
          <w:szCs w:val="20"/>
        </w:rPr>
        <w:t>(2), 180-185.</w:t>
      </w:r>
    </w:p>
    <w:p w14:paraId="0B14D87E" w14:textId="52D17456" w:rsidR="008F764A" w:rsidRPr="00A2652E" w:rsidRDefault="008F764A" w:rsidP="008F764A">
      <w:pPr>
        <w:pStyle w:val="ListParagraph"/>
        <w:numPr>
          <w:ilvl w:val="0"/>
          <w:numId w:val="1"/>
        </w:numPr>
        <w:rPr>
          <w:sz w:val="22"/>
          <w:szCs w:val="20"/>
        </w:rPr>
      </w:pPr>
      <w:r w:rsidRPr="00A2652E">
        <w:rPr>
          <w:sz w:val="22"/>
          <w:szCs w:val="20"/>
        </w:rPr>
        <w:t xml:space="preserve">B.T. Sherman, M. Hao, J. </w:t>
      </w:r>
      <w:proofErr w:type="spellStart"/>
      <w:r w:rsidRPr="00A2652E">
        <w:rPr>
          <w:sz w:val="22"/>
          <w:szCs w:val="20"/>
        </w:rPr>
        <w:t>Qiu</w:t>
      </w:r>
      <w:proofErr w:type="spellEnd"/>
      <w:r w:rsidRPr="00A2652E">
        <w:rPr>
          <w:sz w:val="22"/>
          <w:szCs w:val="20"/>
        </w:rPr>
        <w:t xml:space="preserve">, X. Jiao, M.W. </w:t>
      </w:r>
      <w:proofErr w:type="spellStart"/>
      <w:r w:rsidRPr="00A2652E">
        <w:rPr>
          <w:sz w:val="22"/>
          <w:szCs w:val="20"/>
        </w:rPr>
        <w:t>Baseler</w:t>
      </w:r>
      <w:proofErr w:type="spellEnd"/>
      <w:r w:rsidRPr="00A2652E">
        <w:rPr>
          <w:sz w:val="22"/>
          <w:szCs w:val="20"/>
        </w:rPr>
        <w:t xml:space="preserve">, H.C. Lane, T. </w:t>
      </w:r>
      <w:proofErr w:type="spellStart"/>
      <w:r w:rsidRPr="00A2652E">
        <w:rPr>
          <w:sz w:val="22"/>
          <w:szCs w:val="20"/>
        </w:rPr>
        <w:t>Imamichi</w:t>
      </w:r>
      <w:proofErr w:type="spellEnd"/>
      <w:r w:rsidRPr="00A2652E">
        <w:rPr>
          <w:sz w:val="22"/>
          <w:szCs w:val="20"/>
        </w:rPr>
        <w:t xml:space="preserve"> and W. Chang. DAVID: a web server for functional enrichment analysis and functional annotation of gene lists (2021 update). </w:t>
      </w:r>
      <w:r w:rsidRPr="00A2652E">
        <w:rPr>
          <w:i/>
          <w:iCs/>
          <w:sz w:val="22"/>
          <w:szCs w:val="20"/>
        </w:rPr>
        <w:t>Nucleic Acids Research</w:t>
      </w:r>
      <w:r w:rsidRPr="00A2652E">
        <w:rPr>
          <w:sz w:val="22"/>
          <w:szCs w:val="20"/>
        </w:rPr>
        <w:t>. 23 March 2022. doi:10.1093/</w:t>
      </w:r>
      <w:proofErr w:type="spellStart"/>
      <w:r w:rsidRPr="00A2652E">
        <w:rPr>
          <w:sz w:val="22"/>
          <w:szCs w:val="20"/>
        </w:rPr>
        <w:t>nar</w:t>
      </w:r>
      <w:proofErr w:type="spellEnd"/>
      <w:r w:rsidRPr="00A2652E">
        <w:rPr>
          <w:sz w:val="22"/>
          <w:szCs w:val="20"/>
        </w:rPr>
        <w:t>/gkac194</w:t>
      </w:r>
      <w:r w:rsidRPr="00A2652E">
        <w:rPr>
          <w:sz w:val="22"/>
          <w:szCs w:val="20"/>
        </w:rPr>
        <w:t>.</w:t>
      </w:r>
    </w:p>
    <w:p w14:paraId="4868EE0B" w14:textId="294983CB" w:rsidR="008F764A" w:rsidRPr="008F764A" w:rsidRDefault="008F764A" w:rsidP="008F764A">
      <w:pPr>
        <w:pStyle w:val="ListParagraph"/>
        <w:numPr>
          <w:ilvl w:val="0"/>
          <w:numId w:val="1"/>
        </w:numPr>
        <w:rPr>
          <w:sz w:val="22"/>
          <w:szCs w:val="20"/>
        </w:rPr>
      </w:pPr>
      <w:r w:rsidRPr="00A2652E">
        <w:rPr>
          <w:sz w:val="22"/>
          <w:szCs w:val="20"/>
        </w:rPr>
        <w:t xml:space="preserve">Huang DW, Sherman BT, </w:t>
      </w:r>
      <w:proofErr w:type="spellStart"/>
      <w:r w:rsidRPr="00A2652E">
        <w:rPr>
          <w:sz w:val="22"/>
          <w:szCs w:val="20"/>
        </w:rPr>
        <w:t>Lempicki</w:t>
      </w:r>
      <w:proofErr w:type="spellEnd"/>
      <w:r w:rsidRPr="00A2652E">
        <w:rPr>
          <w:sz w:val="22"/>
          <w:szCs w:val="20"/>
        </w:rPr>
        <w:t xml:space="preserve"> RA. Systematic and integrative analysis of large gene lists using DAVID Bioinformatics Resources. </w:t>
      </w:r>
      <w:r w:rsidRPr="00A2652E">
        <w:rPr>
          <w:i/>
          <w:iCs/>
          <w:sz w:val="22"/>
          <w:szCs w:val="20"/>
        </w:rPr>
        <w:t xml:space="preserve">Nature </w:t>
      </w:r>
      <w:proofErr w:type="spellStart"/>
      <w:r w:rsidRPr="00A2652E">
        <w:rPr>
          <w:i/>
          <w:iCs/>
          <w:sz w:val="22"/>
          <w:szCs w:val="20"/>
        </w:rPr>
        <w:t>Protoc</w:t>
      </w:r>
      <w:proofErr w:type="spellEnd"/>
      <w:r w:rsidRPr="00A2652E">
        <w:rPr>
          <w:i/>
          <w:iCs/>
          <w:sz w:val="22"/>
          <w:szCs w:val="20"/>
        </w:rPr>
        <w:t>. 2009;4(1):44-57</w:t>
      </w:r>
      <w:r w:rsidRPr="00A2652E">
        <w:rPr>
          <w:b/>
          <w:bCs/>
          <w:i/>
          <w:iCs/>
          <w:sz w:val="22"/>
          <w:szCs w:val="20"/>
        </w:rPr>
        <w:t>.</w:t>
      </w:r>
    </w:p>
    <w:p w14:paraId="379C8F3A" w14:textId="487A0719" w:rsidR="00F873F0" w:rsidRPr="00A2652E" w:rsidRDefault="008F764A" w:rsidP="008F764A">
      <w:pPr>
        <w:pStyle w:val="ListParagraph"/>
        <w:numPr>
          <w:ilvl w:val="0"/>
          <w:numId w:val="1"/>
        </w:numPr>
        <w:rPr>
          <w:sz w:val="22"/>
          <w:szCs w:val="20"/>
        </w:rPr>
      </w:pPr>
      <w:proofErr w:type="spellStart"/>
      <w:r w:rsidRPr="008F764A">
        <w:rPr>
          <w:sz w:val="22"/>
          <w:szCs w:val="20"/>
        </w:rPr>
        <w:t>Kolde</w:t>
      </w:r>
      <w:proofErr w:type="spellEnd"/>
      <w:r w:rsidRPr="008F764A">
        <w:rPr>
          <w:sz w:val="22"/>
          <w:szCs w:val="20"/>
        </w:rPr>
        <w:t xml:space="preserve">, R., &amp; </w:t>
      </w:r>
      <w:proofErr w:type="spellStart"/>
      <w:r w:rsidRPr="008F764A">
        <w:rPr>
          <w:sz w:val="22"/>
          <w:szCs w:val="20"/>
        </w:rPr>
        <w:t>Kolde</w:t>
      </w:r>
      <w:proofErr w:type="spellEnd"/>
      <w:r w:rsidRPr="008F764A">
        <w:rPr>
          <w:sz w:val="22"/>
          <w:szCs w:val="20"/>
        </w:rPr>
        <w:t xml:space="preserve">, M. R. (2015). Package ‘pheatmap’. </w:t>
      </w:r>
      <w:r w:rsidRPr="008F764A">
        <w:rPr>
          <w:i/>
          <w:iCs/>
          <w:sz w:val="22"/>
          <w:szCs w:val="20"/>
        </w:rPr>
        <w:t>R package</w:t>
      </w:r>
      <w:r w:rsidRPr="008F764A">
        <w:rPr>
          <w:sz w:val="22"/>
          <w:szCs w:val="20"/>
        </w:rPr>
        <w:t xml:space="preserve">, </w:t>
      </w:r>
      <w:r w:rsidRPr="008F764A">
        <w:rPr>
          <w:i/>
          <w:iCs/>
          <w:sz w:val="22"/>
          <w:szCs w:val="20"/>
        </w:rPr>
        <w:t>1</w:t>
      </w:r>
      <w:r w:rsidRPr="008F764A">
        <w:rPr>
          <w:sz w:val="22"/>
          <w:szCs w:val="20"/>
        </w:rPr>
        <w:t>(7), 790.</w:t>
      </w:r>
    </w:p>
    <w:sectPr w:rsidR="00F873F0" w:rsidRPr="00A26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04566"/>
    <w:multiLevelType w:val="hybridMultilevel"/>
    <w:tmpl w:val="2D789C96"/>
    <w:lvl w:ilvl="0" w:tplc="44CA7C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6141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8B"/>
    <w:rsid w:val="000134F0"/>
    <w:rsid w:val="00033530"/>
    <w:rsid w:val="0009286A"/>
    <w:rsid w:val="00096E34"/>
    <w:rsid w:val="000D4E3B"/>
    <w:rsid w:val="000E56A2"/>
    <w:rsid w:val="000E5879"/>
    <w:rsid w:val="000E6A24"/>
    <w:rsid w:val="00111D21"/>
    <w:rsid w:val="00121922"/>
    <w:rsid w:val="001C66EC"/>
    <w:rsid w:val="001F7402"/>
    <w:rsid w:val="0021323D"/>
    <w:rsid w:val="00214297"/>
    <w:rsid w:val="00217A9F"/>
    <w:rsid w:val="002256DD"/>
    <w:rsid w:val="00267C4F"/>
    <w:rsid w:val="00293E5A"/>
    <w:rsid w:val="00295057"/>
    <w:rsid w:val="002B22E4"/>
    <w:rsid w:val="002B4E3D"/>
    <w:rsid w:val="002C70D9"/>
    <w:rsid w:val="002D56F6"/>
    <w:rsid w:val="002E1359"/>
    <w:rsid w:val="002F2D14"/>
    <w:rsid w:val="0030702D"/>
    <w:rsid w:val="00314BDA"/>
    <w:rsid w:val="00321FD1"/>
    <w:rsid w:val="00382FBF"/>
    <w:rsid w:val="003F0CDE"/>
    <w:rsid w:val="00432FB4"/>
    <w:rsid w:val="0046775F"/>
    <w:rsid w:val="004D5E02"/>
    <w:rsid w:val="004F0A44"/>
    <w:rsid w:val="00526B91"/>
    <w:rsid w:val="00563F92"/>
    <w:rsid w:val="0057048D"/>
    <w:rsid w:val="0057141E"/>
    <w:rsid w:val="00590236"/>
    <w:rsid w:val="006115A6"/>
    <w:rsid w:val="00633AED"/>
    <w:rsid w:val="0066483B"/>
    <w:rsid w:val="006778B3"/>
    <w:rsid w:val="006942F4"/>
    <w:rsid w:val="00740F6C"/>
    <w:rsid w:val="007950A4"/>
    <w:rsid w:val="007F0D20"/>
    <w:rsid w:val="008404BD"/>
    <w:rsid w:val="0085503E"/>
    <w:rsid w:val="008634D0"/>
    <w:rsid w:val="008A055A"/>
    <w:rsid w:val="008C2F1F"/>
    <w:rsid w:val="008E0E8D"/>
    <w:rsid w:val="008F764A"/>
    <w:rsid w:val="00903BE6"/>
    <w:rsid w:val="00934F7E"/>
    <w:rsid w:val="00965065"/>
    <w:rsid w:val="0096665A"/>
    <w:rsid w:val="009E27BB"/>
    <w:rsid w:val="00A2652E"/>
    <w:rsid w:val="00A44315"/>
    <w:rsid w:val="00A61D1C"/>
    <w:rsid w:val="00A63F7F"/>
    <w:rsid w:val="00A924D4"/>
    <w:rsid w:val="00AC4D1E"/>
    <w:rsid w:val="00AF0179"/>
    <w:rsid w:val="00B51175"/>
    <w:rsid w:val="00BA44BC"/>
    <w:rsid w:val="00BA47F2"/>
    <w:rsid w:val="00C03F77"/>
    <w:rsid w:val="00C101C7"/>
    <w:rsid w:val="00C22DA1"/>
    <w:rsid w:val="00C45594"/>
    <w:rsid w:val="00C725E0"/>
    <w:rsid w:val="00C972C7"/>
    <w:rsid w:val="00CB1929"/>
    <w:rsid w:val="00CB2FD6"/>
    <w:rsid w:val="00CD59C9"/>
    <w:rsid w:val="00D35FCB"/>
    <w:rsid w:val="00D90F34"/>
    <w:rsid w:val="00DA11F5"/>
    <w:rsid w:val="00E0219E"/>
    <w:rsid w:val="00E13A8B"/>
    <w:rsid w:val="00E36CC9"/>
    <w:rsid w:val="00E4567E"/>
    <w:rsid w:val="00E635FB"/>
    <w:rsid w:val="00EB0CBD"/>
    <w:rsid w:val="00EB1DFA"/>
    <w:rsid w:val="00EB3434"/>
    <w:rsid w:val="00EC408B"/>
    <w:rsid w:val="00F7053D"/>
    <w:rsid w:val="00F873F0"/>
    <w:rsid w:val="00F90C68"/>
    <w:rsid w:val="00FA358B"/>
    <w:rsid w:val="00FA5684"/>
    <w:rsid w:val="00FB1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4CF6"/>
  <w15:chartTrackingRefBased/>
  <w15:docId w15:val="{B745467C-0C62-4AA2-9F0C-0CAABF14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D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5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065"/>
    <w:pPr>
      <w:ind w:left="720"/>
      <w:contextualSpacing/>
    </w:pPr>
  </w:style>
  <w:style w:type="character" w:styleId="Hyperlink">
    <w:name w:val="Hyperlink"/>
    <w:basedOn w:val="DefaultParagraphFont"/>
    <w:uiPriority w:val="99"/>
    <w:unhideWhenUsed/>
    <w:rsid w:val="00F873F0"/>
    <w:rPr>
      <w:color w:val="0563C1" w:themeColor="hyperlink"/>
      <w:u w:val="single"/>
    </w:rPr>
  </w:style>
  <w:style w:type="character" w:styleId="UnresolvedMention">
    <w:name w:val="Unresolved Mention"/>
    <w:basedOn w:val="DefaultParagraphFont"/>
    <w:uiPriority w:val="99"/>
    <w:semiHidden/>
    <w:unhideWhenUsed/>
    <w:rsid w:val="00F87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1131">
      <w:bodyDiv w:val="1"/>
      <w:marLeft w:val="0"/>
      <w:marRight w:val="0"/>
      <w:marTop w:val="0"/>
      <w:marBottom w:val="0"/>
      <w:divBdr>
        <w:top w:val="none" w:sz="0" w:space="0" w:color="auto"/>
        <w:left w:val="none" w:sz="0" w:space="0" w:color="auto"/>
        <w:bottom w:val="none" w:sz="0" w:space="0" w:color="auto"/>
        <w:right w:val="none" w:sz="0" w:space="0" w:color="auto"/>
      </w:divBdr>
    </w:div>
    <w:div w:id="119500689">
      <w:bodyDiv w:val="1"/>
      <w:marLeft w:val="0"/>
      <w:marRight w:val="0"/>
      <w:marTop w:val="0"/>
      <w:marBottom w:val="0"/>
      <w:divBdr>
        <w:top w:val="none" w:sz="0" w:space="0" w:color="auto"/>
        <w:left w:val="none" w:sz="0" w:space="0" w:color="auto"/>
        <w:bottom w:val="none" w:sz="0" w:space="0" w:color="auto"/>
        <w:right w:val="none" w:sz="0" w:space="0" w:color="auto"/>
      </w:divBdr>
    </w:div>
    <w:div w:id="200215891">
      <w:bodyDiv w:val="1"/>
      <w:marLeft w:val="0"/>
      <w:marRight w:val="0"/>
      <w:marTop w:val="0"/>
      <w:marBottom w:val="0"/>
      <w:divBdr>
        <w:top w:val="none" w:sz="0" w:space="0" w:color="auto"/>
        <w:left w:val="none" w:sz="0" w:space="0" w:color="auto"/>
        <w:bottom w:val="none" w:sz="0" w:space="0" w:color="auto"/>
        <w:right w:val="none" w:sz="0" w:space="0" w:color="auto"/>
      </w:divBdr>
    </w:div>
    <w:div w:id="216479507">
      <w:bodyDiv w:val="1"/>
      <w:marLeft w:val="0"/>
      <w:marRight w:val="0"/>
      <w:marTop w:val="0"/>
      <w:marBottom w:val="0"/>
      <w:divBdr>
        <w:top w:val="none" w:sz="0" w:space="0" w:color="auto"/>
        <w:left w:val="none" w:sz="0" w:space="0" w:color="auto"/>
        <w:bottom w:val="none" w:sz="0" w:space="0" w:color="auto"/>
        <w:right w:val="none" w:sz="0" w:space="0" w:color="auto"/>
      </w:divBdr>
      <w:divsChild>
        <w:div w:id="179704587">
          <w:marLeft w:val="0"/>
          <w:marRight w:val="0"/>
          <w:marTop w:val="0"/>
          <w:marBottom w:val="0"/>
          <w:divBdr>
            <w:top w:val="none" w:sz="0" w:space="0" w:color="auto"/>
            <w:left w:val="none" w:sz="0" w:space="0" w:color="auto"/>
            <w:bottom w:val="none" w:sz="0" w:space="0" w:color="auto"/>
            <w:right w:val="none" w:sz="0" w:space="0" w:color="auto"/>
          </w:divBdr>
        </w:div>
      </w:divsChild>
    </w:div>
    <w:div w:id="287007658">
      <w:bodyDiv w:val="1"/>
      <w:marLeft w:val="0"/>
      <w:marRight w:val="0"/>
      <w:marTop w:val="0"/>
      <w:marBottom w:val="0"/>
      <w:divBdr>
        <w:top w:val="none" w:sz="0" w:space="0" w:color="auto"/>
        <w:left w:val="none" w:sz="0" w:space="0" w:color="auto"/>
        <w:bottom w:val="none" w:sz="0" w:space="0" w:color="auto"/>
        <w:right w:val="none" w:sz="0" w:space="0" w:color="auto"/>
      </w:divBdr>
    </w:div>
    <w:div w:id="324624501">
      <w:bodyDiv w:val="1"/>
      <w:marLeft w:val="0"/>
      <w:marRight w:val="0"/>
      <w:marTop w:val="0"/>
      <w:marBottom w:val="0"/>
      <w:divBdr>
        <w:top w:val="none" w:sz="0" w:space="0" w:color="auto"/>
        <w:left w:val="none" w:sz="0" w:space="0" w:color="auto"/>
        <w:bottom w:val="none" w:sz="0" w:space="0" w:color="auto"/>
        <w:right w:val="none" w:sz="0" w:space="0" w:color="auto"/>
      </w:divBdr>
      <w:divsChild>
        <w:div w:id="731081833">
          <w:marLeft w:val="0"/>
          <w:marRight w:val="0"/>
          <w:marTop w:val="0"/>
          <w:marBottom w:val="0"/>
          <w:divBdr>
            <w:top w:val="none" w:sz="0" w:space="0" w:color="auto"/>
            <w:left w:val="none" w:sz="0" w:space="0" w:color="auto"/>
            <w:bottom w:val="none" w:sz="0" w:space="0" w:color="auto"/>
            <w:right w:val="none" w:sz="0" w:space="0" w:color="auto"/>
          </w:divBdr>
        </w:div>
      </w:divsChild>
    </w:div>
    <w:div w:id="468404992">
      <w:bodyDiv w:val="1"/>
      <w:marLeft w:val="0"/>
      <w:marRight w:val="0"/>
      <w:marTop w:val="0"/>
      <w:marBottom w:val="0"/>
      <w:divBdr>
        <w:top w:val="none" w:sz="0" w:space="0" w:color="auto"/>
        <w:left w:val="none" w:sz="0" w:space="0" w:color="auto"/>
        <w:bottom w:val="none" w:sz="0" w:space="0" w:color="auto"/>
        <w:right w:val="none" w:sz="0" w:space="0" w:color="auto"/>
      </w:divBdr>
      <w:divsChild>
        <w:div w:id="293293833">
          <w:marLeft w:val="0"/>
          <w:marRight w:val="0"/>
          <w:marTop w:val="0"/>
          <w:marBottom w:val="0"/>
          <w:divBdr>
            <w:top w:val="none" w:sz="0" w:space="0" w:color="auto"/>
            <w:left w:val="none" w:sz="0" w:space="0" w:color="auto"/>
            <w:bottom w:val="none" w:sz="0" w:space="0" w:color="auto"/>
            <w:right w:val="none" w:sz="0" w:space="0" w:color="auto"/>
          </w:divBdr>
        </w:div>
      </w:divsChild>
    </w:div>
    <w:div w:id="653988868">
      <w:bodyDiv w:val="1"/>
      <w:marLeft w:val="0"/>
      <w:marRight w:val="0"/>
      <w:marTop w:val="0"/>
      <w:marBottom w:val="0"/>
      <w:divBdr>
        <w:top w:val="none" w:sz="0" w:space="0" w:color="auto"/>
        <w:left w:val="none" w:sz="0" w:space="0" w:color="auto"/>
        <w:bottom w:val="none" w:sz="0" w:space="0" w:color="auto"/>
        <w:right w:val="none" w:sz="0" w:space="0" w:color="auto"/>
      </w:divBdr>
      <w:divsChild>
        <w:div w:id="2071683904">
          <w:marLeft w:val="0"/>
          <w:marRight w:val="0"/>
          <w:marTop w:val="0"/>
          <w:marBottom w:val="0"/>
          <w:divBdr>
            <w:top w:val="none" w:sz="0" w:space="0" w:color="auto"/>
            <w:left w:val="none" w:sz="0" w:space="0" w:color="auto"/>
            <w:bottom w:val="none" w:sz="0" w:space="0" w:color="auto"/>
            <w:right w:val="none" w:sz="0" w:space="0" w:color="auto"/>
          </w:divBdr>
        </w:div>
      </w:divsChild>
    </w:div>
    <w:div w:id="735399137">
      <w:bodyDiv w:val="1"/>
      <w:marLeft w:val="0"/>
      <w:marRight w:val="0"/>
      <w:marTop w:val="0"/>
      <w:marBottom w:val="0"/>
      <w:divBdr>
        <w:top w:val="none" w:sz="0" w:space="0" w:color="auto"/>
        <w:left w:val="none" w:sz="0" w:space="0" w:color="auto"/>
        <w:bottom w:val="none" w:sz="0" w:space="0" w:color="auto"/>
        <w:right w:val="none" w:sz="0" w:space="0" w:color="auto"/>
      </w:divBdr>
    </w:div>
    <w:div w:id="852499788">
      <w:bodyDiv w:val="1"/>
      <w:marLeft w:val="0"/>
      <w:marRight w:val="0"/>
      <w:marTop w:val="0"/>
      <w:marBottom w:val="0"/>
      <w:divBdr>
        <w:top w:val="none" w:sz="0" w:space="0" w:color="auto"/>
        <w:left w:val="none" w:sz="0" w:space="0" w:color="auto"/>
        <w:bottom w:val="none" w:sz="0" w:space="0" w:color="auto"/>
        <w:right w:val="none" w:sz="0" w:space="0" w:color="auto"/>
      </w:divBdr>
      <w:divsChild>
        <w:div w:id="630939746">
          <w:marLeft w:val="0"/>
          <w:marRight w:val="0"/>
          <w:marTop w:val="0"/>
          <w:marBottom w:val="0"/>
          <w:divBdr>
            <w:top w:val="none" w:sz="0" w:space="0" w:color="auto"/>
            <w:left w:val="none" w:sz="0" w:space="0" w:color="auto"/>
            <w:bottom w:val="none" w:sz="0" w:space="0" w:color="auto"/>
            <w:right w:val="none" w:sz="0" w:space="0" w:color="auto"/>
          </w:divBdr>
        </w:div>
      </w:divsChild>
    </w:div>
    <w:div w:id="906190769">
      <w:bodyDiv w:val="1"/>
      <w:marLeft w:val="0"/>
      <w:marRight w:val="0"/>
      <w:marTop w:val="0"/>
      <w:marBottom w:val="0"/>
      <w:divBdr>
        <w:top w:val="none" w:sz="0" w:space="0" w:color="auto"/>
        <w:left w:val="none" w:sz="0" w:space="0" w:color="auto"/>
        <w:bottom w:val="none" w:sz="0" w:space="0" w:color="auto"/>
        <w:right w:val="none" w:sz="0" w:space="0" w:color="auto"/>
      </w:divBdr>
      <w:divsChild>
        <w:div w:id="1814372909">
          <w:marLeft w:val="0"/>
          <w:marRight w:val="0"/>
          <w:marTop w:val="0"/>
          <w:marBottom w:val="0"/>
          <w:divBdr>
            <w:top w:val="none" w:sz="0" w:space="0" w:color="auto"/>
            <w:left w:val="none" w:sz="0" w:space="0" w:color="auto"/>
            <w:bottom w:val="none" w:sz="0" w:space="0" w:color="auto"/>
            <w:right w:val="none" w:sz="0" w:space="0" w:color="auto"/>
          </w:divBdr>
        </w:div>
      </w:divsChild>
    </w:div>
    <w:div w:id="1082530569">
      <w:bodyDiv w:val="1"/>
      <w:marLeft w:val="0"/>
      <w:marRight w:val="0"/>
      <w:marTop w:val="0"/>
      <w:marBottom w:val="0"/>
      <w:divBdr>
        <w:top w:val="none" w:sz="0" w:space="0" w:color="auto"/>
        <w:left w:val="none" w:sz="0" w:space="0" w:color="auto"/>
        <w:bottom w:val="none" w:sz="0" w:space="0" w:color="auto"/>
        <w:right w:val="none" w:sz="0" w:space="0" w:color="auto"/>
      </w:divBdr>
      <w:divsChild>
        <w:div w:id="297876903">
          <w:marLeft w:val="0"/>
          <w:marRight w:val="0"/>
          <w:marTop w:val="0"/>
          <w:marBottom w:val="0"/>
          <w:divBdr>
            <w:top w:val="none" w:sz="0" w:space="0" w:color="auto"/>
            <w:left w:val="none" w:sz="0" w:space="0" w:color="auto"/>
            <w:bottom w:val="none" w:sz="0" w:space="0" w:color="auto"/>
            <w:right w:val="none" w:sz="0" w:space="0" w:color="auto"/>
          </w:divBdr>
        </w:div>
      </w:divsChild>
    </w:div>
    <w:div w:id="1083912618">
      <w:bodyDiv w:val="1"/>
      <w:marLeft w:val="0"/>
      <w:marRight w:val="0"/>
      <w:marTop w:val="0"/>
      <w:marBottom w:val="0"/>
      <w:divBdr>
        <w:top w:val="none" w:sz="0" w:space="0" w:color="auto"/>
        <w:left w:val="none" w:sz="0" w:space="0" w:color="auto"/>
        <w:bottom w:val="none" w:sz="0" w:space="0" w:color="auto"/>
        <w:right w:val="none" w:sz="0" w:space="0" w:color="auto"/>
      </w:divBdr>
    </w:div>
    <w:div w:id="1159269550">
      <w:bodyDiv w:val="1"/>
      <w:marLeft w:val="0"/>
      <w:marRight w:val="0"/>
      <w:marTop w:val="0"/>
      <w:marBottom w:val="0"/>
      <w:divBdr>
        <w:top w:val="none" w:sz="0" w:space="0" w:color="auto"/>
        <w:left w:val="none" w:sz="0" w:space="0" w:color="auto"/>
        <w:bottom w:val="none" w:sz="0" w:space="0" w:color="auto"/>
        <w:right w:val="none" w:sz="0" w:space="0" w:color="auto"/>
      </w:divBdr>
      <w:divsChild>
        <w:div w:id="828905902">
          <w:marLeft w:val="0"/>
          <w:marRight w:val="0"/>
          <w:marTop w:val="0"/>
          <w:marBottom w:val="0"/>
          <w:divBdr>
            <w:top w:val="none" w:sz="0" w:space="0" w:color="auto"/>
            <w:left w:val="none" w:sz="0" w:space="0" w:color="auto"/>
            <w:bottom w:val="none" w:sz="0" w:space="0" w:color="auto"/>
            <w:right w:val="none" w:sz="0" w:space="0" w:color="auto"/>
          </w:divBdr>
        </w:div>
      </w:divsChild>
    </w:div>
    <w:div w:id="1328287772">
      <w:bodyDiv w:val="1"/>
      <w:marLeft w:val="0"/>
      <w:marRight w:val="0"/>
      <w:marTop w:val="0"/>
      <w:marBottom w:val="0"/>
      <w:divBdr>
        <w:top w:val="none" w:sz="0" w:space="0" w:color="auto"/>
        <w:left w:val="none" w:sz="0" w:space="0" w:color="auto"/>
        <w:bottom w:val="none" w:sz="0" w:space="0" w:color="auto"/>
        <w:right w:val="none" w:sz="0" w:space="0" w:color="auto"/>
      </w:divBdr>
      <w:divsChild>
        <w:div w:id="1299458642">
          <w:marLeft w:val="0"/>
          <w:marRight w:val="0"/>
          <w:marTop w:val="0"/>
          <w:marBottom w:val="0"/>
          <w:divBdr>
            <w:top w:val="none" w:sz="0" w:space="0" w:color="auto"/>
            <w:left w:val="none" w:sz="0" w:space="0" w:color="auto"/>
            <w:bottom w:val="none" w:sz="0" w:space="0" w:color="auto"/>
            <w:right w:val="none" w:sz="0" w:space="0" w:color="auto"/>
          </w:divBdr>
        </w:div>
      </w:divsChild>
    </w:div>
    <w:div w:id="1362053457">
      <w:bodyDiv w:val="1"/>
      <w:marLeft w:val="0"/>
      <w:marRight w:val="0"/>
      <w:marTop w:val="0"/>
      <w:marBottom w:val="0"/>
      <w:divBdr>
        <w:top w:val="none" w:sz="0" w:space="0" w:color="auto"/>
        <w:left w:val="none" w:sz="0" w:space="0" w:color="auto"/>
        <w:bottom w:val="none" w:sz="0" w:space="0" w:color="auto"/>
        <w:right w:val="none" w:sz="0" w:space="0" w:color="auto"/>
      </w:divBdr>
      <w:divsChild>
        <w:div w:id="360515897">
          <w:marLeft w:val="0"/>
          <w:marRight w:val="0"/>
          <w:marTop w:val="0"/>
          <w:marBottom w:val="0"/>
          <w:divBdr>
            <w:top w:val="none" w:sz="0" w:space="0" w:color="auto"/>
            <w:left w:val="none" w:sz="0" w:space="0" w:color="auto"/>
            <w:bottom w:val="none" w:sz="0" w:space="0" w:color="auto"/>
            <w:right w:val="none" w:sz="0" w:space="0" w:color="auto"/>
          </w:divBdr>
        </w:div>
      </w:divsChild>
    </w:div>
    <w:div w:id="1364287965">
      <w:bodyDiv w:val="1"/>
      <w:marLeft w:val="0"/>
      <w:marRight w:val="0"/>
      <w:marTop w:val="0"/>
      <w:marBottom w:val="0"/>
      <w:divBdr>
        <w:top w:val="none" w:sz="0" w:space="0" w:color="auto"/>
        <w:left w:val="none" w:sz="0" w:space="0" w:color="auto"/>
        <w:bottom w:val="none" w:sz="0" w:space="0" w:color="auto"/>
        <w:right w:val="none" w:sz="0" w:space="0" w:color="auto"/>
      </w:divBdr>
    </w:div>
    <w:div w:id="1528366969">
      <w:bodyDiv w:val="1"/>
      <w:marLeft w:val="0"/>
      <w:marRight w:val="0"/>
      <w:marTop w:val="0"/>
      <w:marBottom w:val="0"/>
      <w:divBdr>
        <w:top w:val="none" w:sz="0" w:space="0" w:color="auto"/>
        <w:left w:val="none" w:sz="0" w:space="0" w:color="auto"/>
        <w:bottom w:val="none" w:sz="0" w:space="0" w:color="auto"/>
        <w:right w:val="none" w:sz="0" w:space="0" w:color="auto"/>
      </w:divBdr>
    </w:div>
    <w:div w:id="1828403697">
      <w:bodyDiv w:val="1"/>
      <w:marLeft w:val="0"/>
      <w:marRight w:val="0"/>
      <w:marTop w:val="0"/>
      <w:marBottom w:val="0"/>
      <w:divBdr>
        <w:top w:val="none" w:sz="0" w:space="0" w:color="auto"/>
        <w:left w:val="none" w:sz="0" w:space="0" w:color="auto"/>
        <w:bottom w:val="none" w:sz="0" w:space="0" w:color="auto"/>
        <w:right w:val="none" w:sz="0" w:space="0" w:color="auto"/>
      </w:divBdr>
      <w:divsChild>
        <w:div w:id="153970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038/nbt.3001"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D0C55-D069-435C-B71F-7ED18DDB1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Pages>7</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Aneeq Husain</dc:creator>
  <cp:keywords/>
  <dc:description/>
  <cp:lastModifiedBy>Aneeq Husain</cp:lastModifiedBy>
  <cp:revision>15</cp:revision>
  <dcterms:created xsi:type="dcterms:W3CDTF">2022-05-12T02:35:00Z</dcterms:created>
  <dcterms:modified xsi:type="dcterms:W3CDTF">2022-05-13T14:33:00Z</dcterms:modified>
</cp:coreProperties>
</file>