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FCE363" w14:textId="77777777" w:rsidR="0058584F" w:rsidRDefault="00000000">
      <w:pPr>
        <w:shd w:val="clear" w:color="auto" w:fill="FFFFFF"/>
        <w:spacing w:before="0" w:after="160"/>
        <w:ind w:left="-560" w:right="-480"/>
        <w:jc w:val="center"/>
        <w:rPr>
          <w:rFonts w:ascii="Arial" w:eastAsia="Arial" w:hAnsi="Arial" w:cs="Arial"/>
          <w:color w:val="003399"/>
          <w:sz w:val="48"/>
          <w:szCs w:val="48"/>
        </w:rPr>
      </w:pPr>
      <w:r>
        <w:rPr>
          <w:rFonts w:ascii="Arial" w:eastAsia="Arial" w:hAnsi="Arial" w:cs="Arial"/>
          <w:b/>
          <w:noProof/>
          <w:color w:val="003399"/>
          <w:sz w:val="48"/>
          <w:szCs w:val="48"/>
        </w:rPr>
        <mc:AlternateContent>
          <mc:Choice Requires="wps">
            <w:drawing>
              <wp:anchor distT="114300" distB="114300" distL="114300" distR="114300" simplePos="0" relativeHeight="251658240" behindDoc="1" locked="0" layoutInCell="1" hidden="0" allowOverlap="1" wp14:anchorId="45A99449" wp14:editId="15AA8AC4">
                <wp:simplePos x="0" y="0"/>
                <wp:positionH relativeFrom="page">
                  <wp:posOffset>280988</wp:posOffset>
                </wp:positionH>
                <wp:positionV relativeFrom="page">
                  <wp:posOffset>233363</wp:posOffset>
                </wp:positionV>
                <wp:extent cx="7267575" cy="9353550"/>
                <wp:effectExtent l="0" t="0" r="0" b="0"/>
                <wp:wrapNone/>
                <wp:docPr id="1" name="Rectangle 1"/>
                <wp:cNvGraphicFramePr/>
                <a:graphic xmlns:a="http://schemas.openxmlformats.org/drawingml/2006/main">
                  <a:graphicData uri="http://schemas.microsoft.com/office/word/2010/wordprocessingShape">
                    <wps:wsp>
                      <wps:cNvSpPr/>
                      <wps:spPr>
                        <a:xfrm>
                          <a:off x="2125" y="99475"/>
                          <a:ext cx="7620000" cy="5313000"/>
                        </a:xfrm>
                        <a:prstGeom prst="rect">
                          <a:avLst/>
                        </a:prstGeom>
                        <a:noFill/>
                        <a:ln w="19050" cap="flat" cmpd="sng">
                          <a:solidFill>
                            <a:srgbClr val="000000"/>
                          </a:solidFill>
                          <a:prstDash val="solid"/>
                          <a:round/>
                          <a:headEnd type="none" w="sm" len="sm"/>
                          <a:tailEnd type="none" w="sm" len="sm"/>
                        </a:ln>
                      </wps:spPr>
                      <wps:txbx>
                        <w:txbxContent>
                          <w:p w14:paraId="248CA033" w14:textId="77777777" w:rsidR="0058584F" w:rsidRDefault="0058584F">
                            <w:pPr>
                              <w:spacing w:before="0" w:line="240" w:lineRule="auto"/>
                              <w:ind w:right="0"/>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45A99449" id="Rectangle 1" o:spid="_x0000_s1026" style="position:absolute;left:0;text-align:left;margin-left:22.15pt;margin-top:18.4pt;width:572.25pt;height:736.5pt;z-index:-251658240;visibility:visible;mso-wrap-style:square;mso-wrap-distance-left:9pt;mso-wrap-distance-top:9pt;mso-wrap-distance-right:9pt;mso-wrap-distance-bottom:9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" filled="f" strokeweight="1.5pt">
                <v:stroke startarrowwidth="narrow" startarrowlength="short" endarrowwidth="narrow" endarrowlength="short" joinstyle="round"/>
                <v:textbox inset="2.53958mm,2.53958mm,2.53958mm,2.53958mm">
                  <w:txbxContent>
                    <w:p w14:paraId="248CA033" w14:textId="77777777" w:rsidR="0058584F" w:rsidRDefault="0058584F">
                      <w:pPr>
                        <w:spacing w:before="0" w:line="240" w:lineRule="auto"/>
                        <w:ind w:right="0"/>
                        <w:jc w:val="center"/>
                        <w:textDirection w:val="btLr"/>
                      </w:pPr>
                    </w:p>
                  </w:txbxContent>
                </v:textbox>
                <w10:wrap anchorx="page" anchory="page"/>
              </v:rect>
            </w:pict>
          </mc:Fallback>
        </mc:AlternateContent>
      </w:r>
      <w:r>
        <w:rPr>
          <w:rFonts w:ascii="Arial" w:eastAsia="Arial" w:hAnsi="Arial" w:cs="Arial"/>
          <w:b/>
          <w:color w:val="003399"/>
          <w:sz w:val="48"/>
          <w:szCs w:val="48"/>
        </w:rPr>
        <w:t>INDIAN INSTITUTE OF TECHNOLOGY JODHPUR</w:t>
      </w:r>
      <w:r>
        <w:rPr>
          <w:rFonts w:ascii="Arial" w:eastAsia="Arial" w:hAnsi="Arial" w:cs="Arial"/>
          <w:color w:val="003399"/>
          <w:sz w:val="48"/>
          <w:szCs w:val="48"/>
        </w:rPr>
        <w:t xml:space="preserve"> </w:t>
      </w:r>
    </w:p>
    <w:p w14:paraId="73AC00E3" w14:textId="77777777" w:rsidR="0058584F" w:rsidRDefault="00000000">
      <w:pPr>
        <w:shd w:val="clear" w:color="auto" w:fill="FFFFFF"/>
        <w:spacing w:before="0" w:after="160"/>
        <w:ind w:left="-80" w:right="20"/>
        <w:jc w:val="center"/>
        <w:rPr>
          <w:rFonts w:ascii="Arial" w:eastAsia="Arial" w:hAnsi="Arial" w:cs="Arial"/>
          <w:sz w:val="28"/>
          <w:szCs w:val="28"/>
        </w:rPr>
      </w:pPr>
      <w:r>
        <w:rPr>
          <w:rFonts w:ascii="Arial" w:eastAsia="Arial" w:hAnsi="Arial" w:cs="Arial"/>
          <w:b/>
          <w:sz w:val="28"/>
          <w:szCs w:val="28"/>
        </w:rPr>
        <w:t>NH 62 Nagaur Road, Karwar, Jodhpur, Rajasthan</w:t>
      </w:r>
      <w:r>
        <w:rPr>
          <w:rFonts w:ascii="Arial" w:eastAsia="Arial" w:hAnsi="Arial" w:cs="Arial"/>
          <w:sz w:val="28"/>
          <w:szCs w:val="28"/>
        </w:rPr>
        <w:t xml:space="preserve"> </w:t>
      </w:r>
    </w:p>
    <w:p w14:paraId="28AAFFF3" w14:textId="77777777" w:rsidR="0058584F" w:rsidRDefault="00000000">
      <w:pPr>
        <w:shd w:val="clear" w:color="auto" w:fill="FFFFFF"/>
        <w:spacing w:before="0" w:after="160"/>
        <w:ind w:left="-80" w:right="20"/>
        <w:jc w:val="center"/>
        <w:rPr>
          <w:rFonts w:ascii="Arial" w:eastAsia="Arial" w:hAnsi="Arial" w:cs="Arial"/>
          <w:sz w:val="22"/>
          <w:szCs w:val="22"/>
        </w:rPr>
      </w:pPr>
      <w:r>
        <w:rPr>
          <w:rFonts w:ascii="Arial" w:eastAsia="Arial" w:hAnsi="Arial" w:cs="Arial"/>
          <w:sz w:val="22"/>
          <w:szCs w:val="22"/>
        </w:rPr>
        <w:t xml:space="preserve"> </w:t>
      </w:r>
    </w:p>
    <w:p w14:paraId="4329CDF1" w14:textId="77777777" w:rsidR="0058584F" w:rsidRDefault="00000000">
      <w:pPr>
        <w:shd w:val="clear" w:color="auto" w:fill="FFFFFF"/>
        <w:spacing w:before="0" w:after="160"/>
        <w:ind w:right="0"/>
        <w:jc w:val="center"/>
        <w:rPr>
          <w:rFonts w:ascii="Arial" w:eastAsia="Arial" w:hAnsi="Arial" w:cs="Arial"/>
          <w:sz w:val="40"/>
          <w:szCs w:val="40"/>
        </w:rPr>
      </w:pPr>
      <w:r>
        <w:rPr>
          <w:rFonts w:ascii="Arial" w:eastAsia="Arial" w:hAnsi="Arial" w:cs="Arial"/>
          <w:noProof/>
          <w:sz w:val="22"/>
          <w:szCs w:val="22"/>
        </w:rPr>
        <w:drawing>
          <wp:inline distT="114300" distB="114300" distL="114300" distR="114300" wp14:anchorId="4A9A374D" wp14:editId="1948645C">
            <wp:extent cx="2095500" cy="23114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095500" cy="2311400"/>
                    </a:xfrm>
                    <a:prstGeom prst="rect">
                      <a:avLst/>
                    </a:prstGeom>
                    <a:ln/>
                  </pic:spPr>
                </pic:pic>
              </a:graphicData>
            </a:graphic>
          </wp:inline>
        </w:drawing>
      </w:r>
      <w:r>
        <w:rPr>
          <w:rFonts w:ascii="Arial" w:eastAsia="Arial" w:hAnsi="Arial" w:cs="Arial"/>
          <w:sz w:val="36"/>
          <w:szCs w:val="36"/>
        </w:rPr>
        <w:t xml:space="preserve"> </w:t>
      </w:r>
      <w:r>
        <w:rPr>
          <w:rFonts w:ascii="Arial" w:eastAsia="Arial" w:hAnsi="Arial" w:cs="Arial"/>
          <w:sz w:val="40"/>
          <w:szCs w:val="40"/>
        </w:rPr>
        <w:t xml:space="preserve"> </w:t>
      </w:r>
    </w:p>
    <w:p w14:paraId="35CE6706" w14:textId="77777777" w:rsidR="0058584F" w:rsidRDefault="00000000">
      <w:pPr>
        <w:shd w:val="clear" w:color="auto" w:fill="FFFFFF"/>
        <w:spacing w:before="0" w:after="160"/>
        <w:ind w:left="-440" w:right="-200"/>
        <w:jc w:val="center"/>
        <w:rPr>
          <w:rFonts w:ascii="Arial" w:eastAsia="Arial" w:hAnsi="Arial" w:cs="Arial"/>
          <w:sz w:val="28"/>
          <w:szCs w:val="28"/>
        </w:rPr>
      </w:pPr>
      <w:r>
        <w:rPr>
          <w:rFonts w:ascii="Arial" w:eastAsia="Arial" w:hAnsi="Arial" w:cs="Arial"/>
          <w:b/>
          <w:sz w:val="40"/>
          <w:szCs w:val="40"/>
        </w:rPr>
        <w:t>MTech – Data Engineering</w:t>
      </w:r>
      <w:r>
        <w:rPr>
          <w:rFonts w:ascii="Arial" w:eastAsia="Arial" w:hAnsi="Arial" w:cs="Arial"/>
          <w:sz w:val="40"/>
          <w:szCs w:val="40"/>
        </w:rPr>
        <w:t xml:space="preserve"> </w:t>
      </w:r>
      <w:r>
        <w:rPr>
          <w:rFonts w:ascii="Arial" w:eastAsia="Arial" w:hAnsi="Arial" w:cs="Arial"/>
          <w:sz w:val="28"/>
          <w:szCs w:val="28"/>
        </w:rPr>
        <w:t xml:space="preserve"> </w:t>
      </w:r>
    </w:p>
    <w:p w14:paraId="4A532E2A" w14:textId="77777777" w:rsidR="0058584F" w:rsidRDefault="00000000">
      <w:pPr>
        <w:shd w:val="clear" w:color="auto" w:fill="FFFFFF"/>
        <w:spacing w:before="0" w:after="160"/>
        <w:ind w:right="0"/>
        <w:jc w:val="center"/>
        <w:rPr>
          <w:rFonts w:ascii="Arial" w:eastAsia="Arial" w:hAnsi="Arial" w:cs="Arial"/>
          <w:sz w:val="40"/>
          <w:szCs w:val="40"/>
        </w:rPr>
      </w:pPr>
      <w:r>
        <w:rPr>
          <w:rFonts w:ascii="Arial" w:eastAsia="Arial" w:hAnsi="Arial" w:cs="Arial"/>
          <w:sz w:val="40"/>
          <w:szCs w:val="40"/>
        </w:rPr>
        <w:t>TIME SERIES ANALYSIS</w:t>
      </w:r>
    </w:p>
    <w:p w14:paraId="741EEB0E" w14:textId="77777777" w:rsidR="0058584F" w:rsidRDefault="00000000">
      <w:pPr>
        <w:shd w:val="clear" w:color="auto" w:fill="FFFFFF"/>
        <w:spacing w:before="0" w:after="160"/>
        <w:ind w:right="0"/>
        <w:jc w:val="center"/>
        <w:rPr>
          <w:rFonts w:ascii="Arial" w:eastAsia="Arial" w:hAnsi="Arial" w:cs="Arial"/>
          <w:sz w:val="40"/>
          <w:szCs w:val="40"/>
        </w:rPr>
      </w:pPr>
      <w:r>
        <w:rPr>
          <w:rFonts w:ascii="Arial" w:eastAsia="Arial" w:hAnsi="Arial" w:cs="Arial"/>
          <w:sz w:val="40"/>
          <w:szCs w:val="40"/>
        </w:rPr>
        <w:t xml:space="preserve"> </w:t>
      </w:r>
    </w:p>
    <w:p w14:paraId="612C6435" w14:textId="77777777" w:rsidR="0058584F" w:rsidRDefault="00000000">
      <w:pPr>
        <w:shd w:val="clear" w:color="auto" w:fill="FFFFFF"/>
        <w:spacing w:before="0" w:after="160"/>
        <w:ind w:right="0"/>
        <w:jc w:val="center"/>
        <w:rPr>
          <w:rFonts w:ascii="Arial" w:eastAsia="Arial" w:hAnsi="Arial" w:cs="Arial"/>
          <w:sz w:val="32"/>
          <w:szCs w:val="32"/>
        </w:rPr>
      </w:pPr>
      <w:r>
        <w:rPr>
          <w:rFonts w:ascii="Arial" w:eastAsia="Arial" w:hAnsi="Arial" w:cs="Arial"/>
          <w:b/>
          <w:sz w:val="32"/>
          <w:szCs w:val="32"/>
        </w:rPr>
        <w:t>RESERVE BANK of INDIA BALANCE SHEET FORECASTING</w:t>
      </w:r>
    </w:p>
    <w:p w14:paraId="7F0D2349" w14:textId="77777777" w:rsidR="0058584F" w:rsidRDefault="00000000">
      <w:pPr>
        <w:shd w:val="clear" w:color="auto" w:fill="FFFFFF"/>
        <w:spacing w:before="0" w:after="160"/>
        <w:ind w:right="0"/>
        <w:jc w:val="center"/>
        <w:rPr>
          <w:rFonts w:ascii="Arial" w:eastAsia="Arial" w:hAnsi="Arial" w:cs="Arial"/>
          <w:sz w:val="28"/>
          <w:szCs w:val="28"/>
        </w:rPr>
      </w:pPr>
      <w:r>
        <w:rPr>
          <w:rFonts w:ascii="Arial" w:eastAsia="Arial" w:hAnsi="Arial" w:cs="Arial"/>
          <w:b/>
          <w:sz w:val="28"/>
          <w:szCs w:val="28"/>
        </w:rPr>
        <w:t>Submitted By:</w:t>
      </w:r>
      <w:r>
        <w:rPr>
          <w:rFonts w:ascii="Arial" w:eastAsia="Arial" w:hAnsi="Arial" w:cs="Arial"/>
          <w:sz w:val="32"/>
          <w:szCs w:val="32"/>
        </w:rPr>
        <w:t xml:space="preserve"> </w:t>
      </w:r>
    </w:p>
    <w:tbl>
      <w:tblPr>
        <w:tblStyle w:val="a"/>
        <w:tblpPr w:leftFromText="180" w:rightFromText="180" w:topFromText="180" w:bottomFromText="180" w:vertAnchor="text" w:tblpX="2505"/>
        <w:tblW w:w="441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60"/>
        <w:gridCol w:w="2850"/>
      </w:tblGrid>
      <w:tr w:rsidR="0058584F" w14:paraId="0B38E22B" w14:textId="77777777">
        <w:trPr>
          <w:trHeight w:val="570"/>
        </w:trPr>
        <w:tc>
          <w:tcPr>
            <w:tcW w:w="1560" w:type="dxa"/>
            <w:tcBorders>
              <w:top w:val="nil"/>
              <w:left w:val="nil"/>
              <w:bottom w:val="nil"/>
              <w:right w:val="nil"/>
            </w:tcBorders>
            <w:tcMar>
              <w:top w:w="0" w:type="dxa"/>
              <w:left w:w="0" w:type="dxa"/>
              <w:bottom w:w="0" w:type="dxa"/>
              <w:right w:w="0" w:type="dxa"/>
            </w:tcMar>
            <w:vAlign w:val="bottom"/>
          </w:tcPr>
          <w:p w14:paraId="360FA626" w14:textId="77777777" w:rsidR="0058584F" w:rsidRDefault="00000000">
            <w:pPr>
              <w:shd w:val="clear" w:color="auto" w:fill="FFFFFF"/>
              <w:spacing w:before="0"/>
              <w:ind w:right="0"/>
              <w:jc w:val="center"/>
              <w:rPr>
                <w:rFonts w:ascii="Arial" w:eastAsia="Arial" w:hAnsi="Arial" w:cs="Arial"/>
                <w:color w:val="000000"/>
                <w:sz w:val="24"/>
                <w:szCs w:val="24"/>
              </w:rPr>
            </w:pPr>
            <w:r>
              <w:rPr>
                <w:rFonts w:ascii="Arial" w:eastAsia="Arial" w:hAnsi="Arial" w:cs="Arial"/>
                <w:color w:val="000000"/>
                <w:sz w:val="24"/>
                <w:szCs w:val="24"/>
              </w:rPr>
              <w:t xml:space="preserve">M24DE3011 </w:t>
            </w:r>
          </w:p>
        </w:tc>
        <w:tc>
          <w:tcPr>
            <w:tcW w:w="2850" w:type="dxa"/>
            <w:tcBorders>
              <w:top w:val="nil"/>
              <w:left w:val="nil"/>
              <w:bottom w:val="nil"/>
              <w:right w:val="nil"/>
            </w:tcBorders>
            <w:tcMar>
              <w:top w:w="0" w:type="dxa"/>
              <w:left w:w="0" w:type="dxa"/>
              <w:bottom w:w="0" w:type="dxa"/>
              <w:right w:w="0" w:type="dxa"/>
            </w:tcMar>
            <w:vAlign w:val="bottom"/>
          </w:tcPr>
          <w:p w14:paraId="1165D8BF" w14:textId="77777777" w:rsidR="0058584F" w:rsidRDefault="00000000">
            <w:pPr>
              <w:shd w:val="clear" w:color="auto" w:fill="FFFFFF"/>
              <w:spacing w:before="0"/>
              <w:ind w:right="0"/>
              <w:jc w:val="center"/>
              <w:rPr>
                <w:rFonts w:ascii="Arial" w:eastAsia="Arial" w:hAnsi="Arial" w:cs="Arial"/>
                <w:color w:val="000000"/>
                <w:sz w:val="24"/>
                <w:szCs w:val="24"/>
              </w:rPr>
            </w:pPr>
            <w:r>
              <w:rPr>
                <w:rFonts w:ascii="Arial" w:eastAsia="Arial" w:hAnsi="Arial" w:cs="Arial"/>
                <w:color w:val="000000"/>
                <w:sz w:val="24"/>
                <w:szCs w:val="24"/>
              </w:rPr>
              <w:t xml:space="preserve">Aneerban Chowdhury </w:t>
            </w:r>
          </w:p>
        </w:tc>
      </w:tr>
      <w:tr w:rsidR="0058584F" w14:paraId="7EA248F9" w14:textId="77777777">
        <w:trPr>
          <w:trHeight w:val="570"/>
        </w:trPr>
        <w:tc>
          <w:tcPr>
            <w:tcW w:w="1560" w:type="dxa"/>
            <w:tcBorders>
              <w:top w:val="nil"/>
              <w:left w:val="nil"/>
              <w:bottom w:val="nil"/>
              <w:right w:val="nil"/>
            </w:tcBorders>
            <w:tcMar>
              <w:top w:w="0" w:type="dxa"/>
              <w:left w:w="0" w:type="dxa"/>
              <w:bottom w:w="0" w:type="dxa"/>
              <w:right w:w="0" w:type="dxa"/>
            </w:tcMar>
            <w:vAlign w:val="bottom"/>
          </w:tcPr>
          <w:p w14:paraId="204949BD" w14:textId="77777777" w:rsidR="0058584F" w:rsidRDefault="00000000">
            <w:pPr>
              <w:shd w:val="clear" w:color="auto" w:fill="FFFFFF"/>
              <w:spacing w:before="0"/>
              <w:ind w:right="0"/>
              <w:jc w:val="center"/>
              <w:rPr>
                <w:rFonts w:ascii="Arial" w:eastAsia="Arial" w:hAnsi="Arial" w:cs="Arial"/>
                <w:color w:val="000000"/>
                <w:sz w:val="24"/>
                <w:szCs w:val="24"/>
              </w:rPr>
            </w:pPr>
            <w:r>
              <w:rPr>
                <w:rFonts w:ascii="Arial" w:eastAsia="Arial" w:hAnsi="Arial" w:cs="Arial"/>
                <w:color w:val="000000"/>
                <w:sz w:val="24"/>
                <w:szCs w:val="24"/>
              </w:rPr>
              <w:t xml:space="preserve">M24DE3077 </w:t>
            </w:r>
          </w:p>
        </w:tc>
        <w:tc>
          <w:tcPr>
            <w:tcW w:w="2850" w:type="dxa"/>
            <w:tcBorders>
              <w:top w:val="nil"/>
              <w:left w:val="nil"/>
              <w:bottom w:val="nil"/>
              <w:right w:val="nil"/>
            </w:tcBorders>
            <w:tcMar>
              <w:top w:w="0" w:type="dxa"/>
              <w:left w:w="0" w:type="dxa"/>
              <w:bottom w:w="0" w:type="dxa"/>
              <w:right w:w="0" w:type="dxa"/>
            </w:tcMar>
            <w:vAlign w:val="bottom"/>
          </w:tcPr>
          <w:p w14:paraId="369EA164" w14:textId="77777777" w:rsidR="0058584F" w:rsidRDefault="00000000">
            <w:pPr>
              <w:shd w:val="clear" w:color="auto" w:fill="FFFFFF"/>
              <w:spacing w:before="0"/>
              <w:ind w:right="0"/>
              <w:jc w:val="center"/>
              <w:rPr>
                <w:rFonts w:ascii="Arial" w:eastAsia="Arial" w:hAnsi="Arial" w:cs="Arial"/>
                <w:color w:val="000000"/>
                <w:sz w:val="24"/>
                <w:szCs w:val="24"/>
              </w:rPr>
            </w:pPr>
            <w:r>
              <w:rPr>
                <w:rFonts w:ascii="Arial" w:eastAsia="Arial" w:hAnsi="Arial" w:cs="Arial"/>
                <w:color w:val="000000"/>
                <w:sz w:val="24"/>
                <w:szCs w:val="24"/>
              </w:rPr>
              <w:t xml:space="preserve">Sneha </w:t>
            </w:r>
            <w:proofErr w:type="spellStart"/>
            <w:r>
              <w:rPr>
                <w:rFonts w:ascii="Arial" w:eastAsia="Arial" w:hAnsi="Arial" w:cs="Arial"/>
                <w:color w:val="000000"/>
                <w:sz w:val="24"/>
                <w:szCs w:val="24"/>
              </w:rPr>
              <w:t>Sawla</w:t>
            </w:r>
            <w:proofErr w:type="spellEnd"/>
            <w:r>
              <w:rPr>
                <w:rFonts w:ascii="Arial" w:eastAsia="Arial" w:hAnsi="Arial" w:cs="Arial"/>
                <w:color w:val="000000"/>
                <w:sz w:val="24"/>
                <w:szCs w:val="24"/>
              </w:rPr>
              <w:t xml:space="preserve"> </w:t>
            </w:r>
          </w:p>
        </w:tc>
      </w:tr>
      <w:tr w:rsidR="0058584F" w14:paraId="703E979A" w14:textId="77777777">
        <w:trPr>
          <w:trHeight w:val="585"/>
        </w:trPr>
        <w:tc>
          <w:tcPr>
            <w:tcW w:w="1560" w:type="dxa"/>
            <w:tcBorders>
              <w:top w:val="nil"/>
              <w:left w:val="nil"/>
              <w:bottom w:val="nil"/>
              <w:right w:val="nil"/>
            </w:tcBorders>
            <w:tcMar>
              <w:top w:w="0" w:type="dxa"/>
              <w:left w:w="0" w:type="dxa"/>
              <w:bottom w:w="0" w:type="dxa"/>
              <w:right w:w="0" w:type="dxa"/>
            </w:tcMar>
            <w:vAlign w:val="bottom"/>
          </w:tcPr>
          <w:p w14:paraId="32D67BE2" w14:textId="77777777" w:rsidR="0058584F" w:rsidRDefault="00000000">
            <w:pPr>
              <w:shd w:val="clear" w:color="auto" w:fill="FFFFFF"/>
              <w:spacing w:before="0"/>
              <w:ind w:right="0"/>
              <w:jc w:val="center"/>
              <w:rPr>
                <w:rFonts w:ascii="Arial" w:eastAsia="Arial" w:hAnsi="Arial" w:cs="Arial"/>
                <w:color w:val="000000"/>
                <w:sz w:val="24"/>
                <w:szCs w:val="24"/>
              </w:rPr>
            </w:pPr>
            <w:r>
              <w:rPr>
                <w:rFonts w:ascii="Arial" w:eastAsia="Arial" w:hAnsi="Arial" w:cs="Arial"/>
                <w:color w:val="000000"/>
                <w:sz w:val="24"/>
                <w:szCs w:val="24"/>
              </w:rPr>
              <w:t xml:space="preserve">M24DE3053 </w:t>
            </w:r>
          </w:p>
        </w:tc>
        <w:tc>
          <w:tcPr>
            <w:tcW w:w="2850" w:type="dxa"/>
            <w:tcBorders>
              <w:top w:val="nil"/>
              <w:left w:val="nil"/>
              <w:bottom w:val="nil"/>
              <w:right w:val="nil"/>
            </w:tcBorders>
            <w:tcMar>
              <w:top w:w="0" w:type="dxa"/>
              <w:left w:w="0" w:type="dxa"/>
              <w:bottom w:w="0" w:type="dxa"/>
              <w:right w:w="0" w:type="dxa"/>
            </w:tcMar>
            <w:vAlign w:val="bottom"/>
          </w:tcPr>
          <w:p w14:paraId="695B57A7" w14:textId="77777777" w:rsidR="0058584F" w:rsidRDefault="00000000">
            <w:pPr>
              <w:shd w:val="clear" w:color="auto" w:fill="FFFFFF"/>
              <w:spacing w:before="0"/>
              <w:ind w:right="0"/>
              <w:jc w:val="center"/>
              <w:rPr>
                <w:rFonts w:ascii="Arial" w:eastAsia="Arial" w:hAnsi="Arial" w:cs="Arial"/>
                <w:color w:val="000000"/>
                <w:sz w:val="24"/>
                <w:szCs w:val="24"/>
              </w:rPr>
            </w:pPr>
            <w:r>
              <w:rPr>
                <w:rFonts w:ascii="Arial" w:eastAsia="Arial" w:hAnsi="Arial" w:cs="Arial"/>
                <w:color w:val="000000"/>
                <w:sz w:val="24"/>
                <w:szCs w:val="24"/>
              </w:rPr>
              <w:t xml:space="preserve">Neha Challa </w:t>
            </w:r>
          </w:p>
        </w:tc>
      </w:tr>
    </w:tbl>
    <w:p w14:paraId="2C4AEB67" w14:textId="77777777" w:rsidR="0058584F" w:rsidRDefault="0058584F">
      <w:pPr>
        <w:shd w:val="clear" w:color="auto" w:fill="FFFFFF"/>
        <w:spacing w:before="0" w:after="160"/>
        <w:ind w:right="0"/>
        <w:jc w:val="center"/>
        <w:rPr>
          <w:rFonts w:ascii="Arial" w:eastAsia="Arial" w:hAnsi="Arial" w:cs="Arial"/>
          <w:sz w:val="28"/>
          <w:szCs w:val="28"/>
        </w:rPr>
      </w:pPr>
    </w:p>
    <w:p w14:paraId="51359D04" w14:textId="77777777" w:rsidR="0058584F" w:rsidRDefault="00000000">
      <w:pPr>
        <w:shd w:val="clear" w:color="auto" w:fill="FFFFFF"/>
        <w:spacing w:before="0" w:after="160"/>
        <w:ind w:right="0"/>
        <w:jc w:val="center"/>
        <w:rPr>
          <w:rFonts w:ascii="Arial" w:eastAsia="Arial" w:hAnsi="Arial" w:cs="Arial"/>
          <w:sz w:val="22"/>
          <w:szCs w:val="22"/>
        </w:rPr>
      </w:pPr>
      <w:r>
        <w:rPr>
          <w:rFonts w:ascii="Arial" w:eastAsia="Arial" w:hAnsi="Arial" w:cs="Arial"/>
          <w:sz w:val="22"/>
          <w:szCs w:val="22"/>
        </w:rPr>
        <w:t xml:space="preserve"> </w:t>
      </w:r>
    </w:p>
    <w:p w14:paraId="10D5910D" w14:textId="77777777" w:rsidR="0058584F" w:rsidRDefault="0058584F">
      <w:pPr>
        <w:jc w:val="center"/>
        <w:rPr>
          <w:rFonts w:ascii="Arial" w:eastAsia="Arial" w:hAnsi="Arial" w:cs="Arial"/>
          <w:b/>
          <w:color w:val="003399"/>
          <w:sz w:val="48"/>
          <w:szCs w:val="48"/>
        </w:rPr>
      </w:pPr>
    </w:p>
    <w:p w14:paraId="6C2A5718" w14:textId="77777777" w:rsidR="0058584F" w:rsidRDefault="0058584F">
      <w:pPr>
        <w:jc w:val="center"/>
        <w:rPr>
          <w:rFonts w:ascii="Arial" w:eastAsia="Arial" w:hAnsi="Arial" w:cs="Arial"/>
          <w:b/>
          <w:color w:val="003399"/>
          <w:sz w:val="48"/>
          <w:szCs w:val="48"/>
        </w:rPr>
      </w:pPr>
    </w:p>
    <w:p w14:paraId="7AD70961"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0" w:name="_yszgc575fl6s" w:colFirst="0" w:colLast="0"/>
      <w:bookmarkStart w:id="1" w:name="_p6s278ojypnp" w:colFirst="0" w:colLast="0"/>
      <w:bookmarkEnd w:id="0"/>
      <w:bookmarkEnd w:id="1"/>
      <w:r>
        <w:rPr>
          <w:rFonts w:ascii="Arial" w:eastAsia="Arial" w:hAnsi="Arial" w:cs="Arial"/>
          <w:sz w:val="34"/>
          <w:szCs w:val="34"/>
        </w:rPr>
        <w:lastRenderedPageBreak/>
        <w:t>Executive Summary</w:t>
      </w:r>
    </w:p>
    <w:p w14:paraId="268FBDE2"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This report presents an extensive exploration into a time series forecasting project for the weekly balance sheet data of the RBI. The proposed analysis integrates statistical modeling and monetary economics in understanding financial patterns and generating predictions. Through structured preprocessing, in-depth exploratory analysis, correlation evaluation, and forecasting using ARIMA models, this study brings forth how the quantitative modeling of central bank balance sheet movements can be used to support monetary decisions and manage liquidity. We have 2004 to 2025 years of data.</w:t>
      </w:r>
    </w:p>
    <w:p w14:paraId="73745373"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Through analysis, it brings forth meaningful trends in deposits, loans, foreign assets, and currency circulation. The ARIMA-based forecasting part underlines short-run predictability and thus presents data-driven insights for policymakers, financial institutions, and researchers.</w:t>
      </w:r>
    </w:p>
    <w:p w14:paraId="620EB26A" w14:textId="77777777" w:rsidR="005A0A9B" w:rsidRDefault="005A0A9B" w:rsidP="005A0A9B">
      <w:pPr>
        <w:spacing w:before="240" w:after="240"/>
        <w:ind w:right="0"/>
        <w:jc w:val="both"/>
        <w:rPr>
          <w:rFonts w:ascii="Arial" w:eastAsia="Arial" w:hAnsi="Arial" w:cs="Arial"/>
          <w:color w:val="000000"/>
          <w:sz w:val="22"/>
          <w:szCs w:val="22"/>
        </w:rPr>
      </w:pPr>
    </w:p>
    <w:p w14:paraId="60C76F13" w14:textId="77777777" w:rsidR="005A0A9B" w:rsidRDefault="005A0A9B" w:rsidP="005A0A9B">
      <w:pPr>
        <w:spacing w:before="240" w:after="240"/>
        <w:ind w:right="0"/>
        <w:jc w:val="both"/>
        <w:rPr>
          <w:rFonts w:ascii="Arial" w:eastAsia="Arial" w:hAnsi="Arial" w:cs="Arial"/>
          <w:color w:val="000000"/>
          <w:sz w:val="22"/>
          <w:szCs w:val="22"/>
        </w:rPr>
      </w:pPr>
    </w:p>
    <w:p w14:paraId="5295105F" w14:textId="77777777" w:rsidR="005A0A9B" w:rsidRDefault="005A0A9B" w:rsidP="005A0A9B">
      <w:pPr>
        <w:spacing w:before="240" w:after="240"/>
        <w:ind w:right="0"/>
        <w:jc w:val="both"/>
        <w:rPr>
          <w:rFonts w:ascii="Arial" w:eastAsia="Arial" w:hAnsi="Arial" w:cs="Arial"/>
          <w:color w:val="000000"/>
          <w:sz w:val="22"/>
          <w:szCs w:val="22"/>
        </w:rPr>
      </w:pPr>
    </w:p>
    <w:p w14:paraId="4D11BC3D" w14:textId="77777777" w:rsidR="005A0A9B" w:rsidRDefault="005A0A9B" w:rsidP="005A0A9B">
      <w:pPr>
        <w:spacing w:before="240" w:after="240"/>
        <w:ind w:right="0"/>
        <w:jc w:val="both"/>
        <w:rPr>
          <w:rFonts w:ascii="Arial" w:eastAsia="Arial" w:hAnsi="Arial" w:cs="Arial"/>
          <w:color w:val="000000"/>
          <w:sz w:val="22"/>
          <w:szCs w:val="22"/>
        </w:rPr>
      </w:pPr>
    </w:p>
    <w:p w14:paraId="13C75B90" w14:textId="77777777" w:rsidR="005A0A9B" w:rsidRDefault="005A0A9B" w:rsidP="005A0A9B">
      <w:pPr>
        <w:spacing w:before="240" w:after="240"/>
        <w:ind w:right="0"/>
        <w:jc w:val="both"/>
        <w:rPr>
          <w:rFonts w:ascii="Arial" w:eastAsia="Arial" w:hAnsi="Arial" w:cs="Arial"/>
          <w:color w:val="000000"/>
          <w:sz w:val="22"/>
          <w:szCs w:val="22"/>
        </w:rPr>
      </w:pPr>
    </w:p>
    <w:p w14:paraId="2AFA913C" w14:textId="77777777" w:rsidR="005A0A9B" w:rsidRDefault="005A0A9B" w:rsidP="005A0A9B">
      <w:pPr>
        <w:spacing w:before="240" w:after="240"/>
        <w:ind w:right="0"/>
        <w:jc w:val="both"/>
        <w:rPr>
          <w:rFonts w:ascii="Arial" w:eastAsia="Arial" w:hAnsi="Arial" w:cs="Arial"/>
          <w:color w:val="000000"/>
          <w:sz w:val="22"/>
          <w:szCs w:val="22"/>
        </w:rPr>
      </w:pPr>
    </w:p>
    <w:p w14:paraId="165D85B7" w14:textId="77777777" w:rsidR="005A0A9B" w:rsidRDefault="005A0A9B" w:rsidP="005A0A9B">
      <w:pPr>
        <w:spacing w:before="240" w:after="240"/>
        <w:ind w:right="0"/>
        <w:jc w:val="both"/>
        <w:rPr>
          <w:rFonts w:ascii="Arial" w:eastAsia="Arial" w:hAnsi="Arial" w:cs="Arial"/>
          <w:color w:val="000000"/>
          <w:sz w:val="22"/>
          <w:szCs w:val="22"/>
        </w:rPr>
      </w:pPr>
    </w:p>
    <w:p w14:paraId="442B0B19" w14:textId="77777777" w:rsidR="005A0A9B" w:rsidRDefault="005A0A9B" w:rsidP="005A0A9B">
      <w:pPr>
        <w:spacing w:before="240" w:after="240"/>
        <w:ind w:right="0"/>
        <w:jc w:val="both"/>
        <w:rPr>
          <w:rFonts w:ascii="Arial" w:eastAsia="Arial" w:hAnsi="Arial" w:cs="Arial"/>
          <w:color w:val="000000"/>
          <w:sz w:val="22"/>
          <w:szCs w:val="22"/>
        </w:rPr>
      </w:pPr>
    </w:p>
    <w:p w14:paraId="6705BDAC" w14:textId="77777777" w:rsidR="005A0A9B" w:rsidRDefault="005A0A9B" w:rsidP="005A0A9B">
      <w:pPr>
        <w:spacing w:before="240" w:after="240"/>
        <w:ind w:right="0"/>
        <w:jc w:val="both"/>
        <w:rPr>
          <w:rFonts w:ascii="Arial" w:eastAsia="Arial" w:hAnsi="Arial" w:cs="Arial"/>
          <w:color w:val="000000"/>
          <w:sz w:val="22"/>
          <w:szCs w:val="22"/>
        </w:rPr>
      </w:pPr>
    </w:p>
    <w:p w14:paraId="5CA2E4FF" w14:textId="77777777" w:rsidR="005A0A9B" w:rsidRDefault="005A0A9B" w:rsidP="005A0A9B">
      <w:pPr>
        <w:spacing w:before="240" w:after="240"/>
        <w:ind w:right="0"/>
        <w:jc w:val="both"/>
        <w:rPr>
          <w:rFonts w:ascii="Arial" w:eastAsia="Arial" w:hAnsi="Arial" w:cs="Arial"/>
          <w:color w:val="000000"/>
          <w:sz w:val="22"/>
          <w:szCs w:val="22"/>
        </w:rPr>
      </w:pPr>
    </w:p>
    <w:p w14:paraId="2D0DF96E" w14:textId="77777777" w:rsidR="005A0A9B" w:rsidRDefault="005A0A9B" w:rsidP="005A0A9B">
      <w:pPr>
        <w:spacing w:before="240" w:after="240"/>
        <w:ind w:right="0"/>
        <w:jc w:val="both"/>
        <w:rPr>
          <w:rFonts w:ascii="Arial" w:eastAsia="Arial" w:hAnsi="Arial" w:cs="Arial"/>
          <w:color w:val="000000"/>
          <w:sz w:val="22"/>
          <w:szCs w:val="22"/>
        </w:rPr>
      </w:pPr>
    </w:p>
    <w:p w14:paraId="46BAB218" w14:textId="77777777" w:rsidR="005A0A9B" w:rsidRDefault="005A0A9B" w:rsidP="005A0A9B">
      <w:pPr>
        <w:spacing w:before="240" w:after="240"/>
        <w:ind w:right="0"/>
        <w:jc w:val="both"/>
        <w:rPr>
          <w:rFonts w:ascii="Arial" w:eastAsia="Arial" w:hAnsi="Arial" w:cs="Arial"/>
          <w:color w:val="000000"/>
          <w:sz w:val="22"/>
          <w:szCs w:val="22"/>
        </w:rPr>
      </w:pPr>
    </w:p>
    <w:p w14:paraId="0C9FF048" w14:textId="77777777" w:rsidR="005A0A9B" w:rsidRDefault="005A0A9B" w:rsidP="005A0A9B">
      <w:pPr>
        <w:spacing w:before="240" w:after="240"/>
        <w:ind w:right="0"/>
        <w:jc w:val="both"/>
        <w:rPr>
          <w:rFonts w:ascii="Arial" w:eastAsia="Arial" w:hAnsi="Arial" w:cs="Arial"/>
          <w:color w:val="000000"/>
          <w:sz w:val="22"/>
          <w:szCs w:val="22"/>
        </w:rPr>
      </w:pPr>
    </w:p>
    <w:p w14:paraId="7C2A5215" w14:textId="77777777" w:rsidR="005A0A9B" w:rsidRDefault="005A0A9B" w:rsidP="005A0A9B">
      <w:pPr>
        <w:spacing w:before="240" w:after="240"/>
        <w:ind w:right="0"/>
        <w:jc w:val="both"/>
        <w:rPr>
          <w:rFonts w:ascii="Arial" w:eastAsia="Arial" w:hAnsi="Arial" w:cs="Arial"/>
          <w:color w:val="000000"/>
          <w:sz w:val="22"/>
          <w:szCs w:val="22"/>
        </w:rPr>
      </w:pPr>
    </w:p>
    <w:p w14:paraId="50B26680" w14:textId="77777777" w:rsidR="0058584F" w:rsidRDefault="00000000" w:rsidP="005A0A9B">
      <w:pPr>
        <w:pStyle w:val="Heading2"/>
        <w:keepNext w:val="0"/>
        <w:keepLines w:val="0"/>
        <w:spacing w:before="360" w:after="80" w:line="312" w:lineRule="auto"/>
        <w:ind w:right="0"/>
        <w:jc w:val="both"/>
        <w:rPr>
          <w:rFonts w:ascii="Arial" w:eastAsia="Arial" w:hAnsi="Arial" w:cs="Arial"/>
          <w:sz w:val="34"/>
          <w:szCs w:val="34"/>
        </w:rPr>
      </w:pPr>
      <w:bookmarkStart w:id="2" w:name="_jr96pnaf0tcz" w:colFirst="0" w:colLast="0"/>
      <w:bookmarkEnd w:id="2"/>
      <w:r>
        <w:rPr>
          <w:rFonts w:ascii="Arial" w:eastAsia="Arial" w:hAnsi="Arial" w:cs="Arial"/>
          <w:sz w:val="34"/>
          <w:szCs w:val="34"/>
        </w:rPr>
        <w:lastRenderedPageBreak/>
        <w:t>1. Introduction</w:t>
      </w:r>
    </w:p>
    <w:p w14:paraId="671322ED" w14:textId="77777777" w:rsidR="0058584F" w:rsidRDefault="00000000" w:rsidP="005A0A9B">
      <w:pPr>
        <w:pStyle w:val="Heading3"/>
        <w:keepNext w:val="0"/>
        <w:keepLines w:val="0"/>
        <w:spacing w:before="280" w:after="80" w:line="312" w:lineRule="auto"/>
        <w:ind w:right="0"/>
        <w:jc w:val="both"/>
        <w:rPr>
          <w:rFonts w:ascii="Arial" w:eastAsia="Arial" w:hAnsi="Arial" w:cs="Arial"/>
          <w:b/>
          <w:color w:val="000000"/>
          <w:sz w:val="26"/>
          <w:szCs w:val="26"/>
        </w:rPr>
      </w:pPr>
      <w:bookmarkStart w:id="3" w:name="_4njmij3rh97g" w:colFirst="0" w:colLast="0"/>
      <w:bookmarkEnd w:id="3"/>
      <w:r>
        <w:rPr>
          <w:rFonts w:ascii="Arial" w:eastAsia="Arial" w:hAnsi="Arial" w:cs="Arial"/>
          <w:b/>
          <w:color w:val="000000"/>
          <w:sz w:val="26"/>
          <w:szCs w:val="26"/>
        </w:rPr>
        <w:t>1.1 Project Overview</w:t>
      </w:r>
    </w:p>
    <w:p w14:paraId="642FC38C"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project investigates RBI’s weekly balance sheet data to analyze temporal dynamics in India’s monetary system. The dataset, sourced from RBI’s official Weekly Statistical Supplement, includes high-frequency financial indicators reflecting India’s evolving economic environment. The study dissects assets and liabilities, identifying growth patterns, liquidity conditions, and policy implications.</w:t>
      </w:r>
    </w:p>
    <w:p w14:paraId="176DCFD1" w14:textId="77777777" w:rsidR="0058584F" w:rsidRDefault="00000000" w:rsidP="005A0A9B">
      <w:pPr>
        <w:pStyle w:val="Heading2"/>
        <w:jc w:val="both"/>
      </w:pPr>
      <w:bookmarkStart w:id="4" w:name="_yvfq4x9hx0dp" w:colFirst="0" w:colLast="0"/>
      <w:bookmarkEnd w:id="4"/>
      <w:r>
        <w:t>Dataset Description</w:t>
      </w:r>
    </w:p>
    <w:p w14:paraId="6ACA455D" w14:textId="77777777" w:rsidR="0058584F" w:rsidRDefault="00000000" w:rsidP="005A0A9B">
      <w:pPr>
        <w:jc w:val="both"/>
        <w:rPr>
          <w:color w:val="000000"/>
        </w:rPr>
      </w:pPr>
      <w:r>
        <w:rPr>
          <w:color w:val="000000"/>
        </w:rPr>
        <w:t xml:space="preserve">Source: Official RBI Database — Weekly Statistical Supplement (WSS) published by the </w:t>
      </w:r>
      <w:hyperlink r:id="rId7">
        <w:r>
          <w:rPr>
            <w:color w:val="000000"/>
            <w:u w:val="single"/>
          </w:rPr>
          <w:t>Reserve Bank of India</w:t>
        </w:r>
      </w:hyperlink>
      <w:r>
        <w:rPr>
          <w:color w:val="000000"/>
        </w:rPr>
        <w:t>.</w:t>
      </w:r>
    </w:p>
    <w:p w14:paraId="6CD3E2B7" w14:textId="77777777" w:rsidR="0058584F" w:rsidRDefault="00000000" w:rsidP="005A0A9B">
      <w:pPr>
        <w:jc w:val="both"/>
        <w:rPr>
          <w:color w:val="000000"/>
        </w:rPr>
      </w:pPr>
      <w:r>
        <w:rPr>
          <w:color w:val="000000"/>
        </w:rPr>
        <w:t xml:space="preserve">File: </w:t>
      </w:r>
      <w:proofErr w:type="spellStart"/>
      <w:r>
        <w:rPr>
          <w:color w:val="000000"/>
        </w:rPr>
        <w:t>RBI_Liabilities</w:t>
      </w:r>
      <w:proofErr w:type="spellEnd"/>
      <w:r>
        <w:rPr>
          <w:color w:val="000000"/>
        </w:rPr>
        <w:t xml:space="preserve"> and Assets.csv</w:t>
      </w:r>
    </w:p>
    <w:p w14:paraId="17910404" w14:textId="3153C6A0" w:rsidR="005A0A9B" w:rsidRDefault="00000000" w:rsidP="005A0A9B">
      <w:pPr>
        <w:spacing w:after="240"/>
        <w:jc w:val="both"/>
        <w:rPr>
          <w:color w:val="000000"/>
        </w:rPr>
      </w:pPr>
      <w:r>
        <w:rPr>
          <w:color w:val="000000"/>
        </w:rPr>
        <w:t>Each row represents the week-ended balance sheet data (usually every Friday).</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5"/>
        <w:gridCol w:w="4961"/>
        <w:gridCol w:w="2564"/>
      </w:tblGrid>
      <w:tr w:rsidR="0058584F" w14:paraId="1B9D407B" w14:textId="77777777" w:rsidTr="005A0A9B">
        <w:trPr>
          <w:trHeight w:val="480"/>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7D78A062" w14:textId="77777777" w:rsidR="0058584F" w:rsidRDefault="00000000" w:rsidP="005A0A9B">
            <w:pPr>
              <w:spacing w:before="0" w:line="240" w:lineRule="auto"/>
              <w:jc w:val="both"/>
              <w:rPr>
                <w:b/>
                <w:color w:val="000000"/>
              </w:rPr>
            </w:pPr>
            <w:r>
              <w:rPr>
                <w:b/>
                <w:color w:val="000000"/>
              </w:rPr>
              <w:t>Category</w:t>
            </w:r>
          </w:p>
        </w:tc>
        <w:tc>
          <w:tcPr>
            <w:tcW w:w="4961"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17ADC16C" w14:textId="77777777" w:rsidR="0058584F" w:rsidRDefault="00000000" w:rsidP="005A0A9B">
            <w:pPr>
              <w:spacing w:before="0" w:line="240" w:lineRule="auto"/>
              <w:jc w:val="both"/>
              <w:rPr>
                <w:b/>
                <w:color w:val="000000"/>
              </w:rPr>
            </w:pPr>
            <w:r>
              <w:rPr>
                <w:b/>
                <w:color w:val="000000"/>
              </w:rPr>
              <w:t>Column</w:t>
            </w:r>
          </w:p>
        </w:tc>
        <w:tc>
          <w:tcPr>
            <w:tcW w:w="2564"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7FE1FC69" w14:textId="77777777" w:rsidR="0058584F" w:rsidRDefault="00000000" w:rsidP="005A0A9B">
            <w:pPr>
              <w:spacing w:before="0" w:line="240" w:lineRule="auto"/>
              <w:jc w:val="both"/>
              <w:rPr>
                <w:b/>
                <w:color w:val="000000"/>
              </w:rPr>
            </w:pPr>
            <w:r>
              <w:rPr>
                <w:b/>
                <w:color w:val="000000"/>
              </w:rPr>
              <w:t>Description</w:t>
            </w:r>
          </w:p>
        </w:tc>
      </w:tr>
      <w:tr w:rsidR="0058584F" w14:paraId="521E38C2" w14:textId="77777777" w:rsidTr="005A0A9B">
        <w:trPr>
          <w:trHeight w:val="669"/>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7ABF7DBB" w14:textId="77777777" w:rsidR="0058584F" w:rsidRDefault="00000000" w:rsidP="005A0A9B">
            <w:pPr>
              <w:spacing w:before="0" w:line="240" w:lineRule="auto"/>
              <w:jc w:val="both"/>
              <w:rPr>
                <w:color w:val="000000"/>
              </w:rPr>
            </w:pPr>
            <w:r>
              <w:rPr>
                <w:color w:val="000000"/>
              </w:rPr>
              <w:t xml:space="preserve"> Notes</w:t>
            </w:r>
          </w:p>
        </w:tc>
        <w:tc>
          <w:tcPr>
            <w:tcW w:w="4961"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3354B7D0" w14:textId="77777777" w:rsidR="005A0A9B" w:rsidRDefault="00000000" w:rsidP="005A0A9B">
            <w:pPr>
              <w:spacing w:before="0" w:line="240" w:lineRule="auto"/>
              <w:jc w:val="both"/>
              <w:rPr>
                <w:color w:val="000000"/>
              </w:rPr>
            </w:pPr>
            <w:r>
              <w:rPr>
                <w:color w:val="000000"/>
              </w:rPr>
              <w:t>A1_Notes_in_Circulation</w:t>
            </w:r>
          </w:p>
          <w:p w14:paraId="1F4760FA" w14:textId="1600AF60" w:rsidR="0058584F" w:rsidRDefault="00000000" w:rsidP="005A0A9B">
            <w:pPr>
              <w:spacing w:before="0" w:line="240" w:lineRule="auto"/>
              <w:jc w:val="both"/>
              <w:rPr>
                <w:color w:val="000000"/>
              </w:rPr>
            </w:pPr>
            <w:r>
              <w:rPr>
                <w:color w:val="000000"/>
              </w:rPr>
              <w:t>A2_Notes_Held_in_Banking_Department</w:t>
            </w:r>
          </w:p>
        </w:tc>
        <w:tc>
          <w:tcPr>
            <w:tcW w:w="2564"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10601BFB" w14:textId="77777777" w:rsidR="0058584F" w:rsidRDefault="00000000" w:rsidP="005A0A9B">
            <w:pPr>
              <w:spacing w:before="0" w:line="240" w:lineRule="auto"/>
              <w:jc w:val="both"/>
              <w:rPr>
                <w:color w:val="000000"/>
              </w:rPr>
            </w:pPr>
            <w:r>
              <w:rPr>
                <w:color w:val="000000"/>
              </w:rPr>
              <w:t>Currency in circulation and held by RBI</w:t>
            </w:r>
          </w:p>
        </w:tc>
      </w:tr>
      <w:tr w:rsidR="0058584F" w14:paraId="17C2FB49" w14:textId="77777777" w:rsidTr="005A0A9B">
        <w:trPr>
          <w:trHeight w:val="909"/>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6C745CBD" w14:textId="77777777" w:rsidR="0058584F" w:rsidRDefault="00000000" w:rsidP="005A0A9B">
            <w:pPr>
              <w:spacing w:before="0" w:line="240" w:lineRule="auto"/>
              <w:jc w:val="both"/>
              <w:rPr>
                <w:color w:val="000000"/>
              </w:rPr>
            </w:pPr>
            <w:r>
              <w:rPr>
                <w:color w:val="000000"/>
              </w:rPr>
              <w:t>Deposits (B)</w:t>
            </w:r>
          </w:p>
        </w:tc>
        <w:tc>
          <w:tcPr>
            <w:tcW w:w="4961"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60182564" w14:textId="77777777" w:rsidR="005A0A9B" w:rsidRDefault="00000000" w:rsidP="005A0A9B">
            <w:pPr>
              <w:spacing w:before="0" w:line="240" w:lineRule="auto"/>
              <w:jc w:val="both"/>
              <w:rPr>
                <w:color w:val="000000"/>
              </w:rPr>
            </w:pPr>
            <w:r>
              <w:rPr>
                <w:color w:val="000000"/>
              </w:rPr>
              <w:t>B1_Deposits_Central_Government</w:t>
            </w:r>
          </w:p>
          <w:p w14:paraId="49807515" w14:textId="77777777" w:rsidR="005A0A9B" w:rsidRDefault="00000000" w:rsidP="005A0A9B">
            <w:pPr>
              <w:spacing w:before="0" w:line="240" w:lineRule="auto"/>
              <w:jc w:val="both"/>
              <w:rPr>
                <w:color w:val="000000"/>
              </w:rPr>
            </w:pPr>
            <w:r>
              <w:rPr>
                <w:color w:val="000000"/>
              </w:rPr>
              <w:t>B3_Deposits_State_Governments</w:t>
            </w:r>
          </w:p>
          <w:p w14:paraId="501C0539" w14:textId="77777777" w:rsidR="005A0A9B" w:rsidRDefault="00000000" w:rsidP="005A0A9B">
            <w:pPr>
              <w:spacing w:before="0" w:line="240" w:lineRule="auto"/>
              <w:jc w:val="both"/>
              <w:rPr>
                <w:color w:val="000000"/>
              </w:rPr>
            </w:pPr>
            <w:r>
              <w:rPr>
                <w:color w:val="000000"/>
              </w:rPr>
              <w:t>B4_Deposits_Scheduled_Commercial_Banks</w:t>
            </w:r>
          </w:p>
          <w:p w14:paraId="4716BEF0" w14:textId="3C1C3CB1" w:rsidR="0058584F" w:rsidRDefault="00000000" w:rsidP="005A0A9B">
            <w:pPr>
              <w:spacing w:before="0" w:line="240" w:lineRule="auto"/>
              <w:jc w:val="both"/>
              <w:rPr>
                <w:color w:val="000000"/>
              </w:rPr>
            </w:pPr>
            <w:r>
              <w:rPr>
                <w:color w:val="000000"/>
              </w:rPr>
              <w:t>B5_Deposits_Scheduled_State_Co</w:t>
            </w:r>
            <w:r w:rsidR="005A0A9B">
              <w:rPr>
                <w:color w:val="000000"/>
              </w:rPr>
              <w:t>op</w:t>
            </w:r>
            <w:r>
              <w:rPr>
                <w:color w:val="000000"/>
              </w:rPr>
              <w:t>_Banks</w:t>
            </w:r>
          </w:p>
        </w:tc>
        <w:tc>
          <w:tcPr>
            <w:tcW w:w="2564"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4EA7D5D4" w14:textId="77777777" w:rsidR="0058584F" w:rsidRDefault="00000000" w:rsidP="005A0A9B">
            <w:pPr>
              <w:spacing w:before="0" w:line="240" w:lineRule="auto"/>
              <w:jc w:val="both"/>
              <w:rPr>
                <w:color w:val="000000"/>
              </w:rPr>
            </w:pPr>
            <w:r>
              <w:rPr>
                <w:color w:val="000000"/>
              </w:rPr>
              <w:t>Deposits maintained with RBI by various institutions</w:t>
            </w:r>
          </w:p>
        </w:tc>
      </w:tr>
      <w:tr w:rsidR="0058584F" w14:paraId="5804FBFB" w14:textId="77777777" w:rsidTr="005A0A9B">
        <w:trPr>
          <w:trHeight w:val="441"/>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2E2EEE1F" w14:textId="77777777" w:rsidR="0058584F" w:rsidRDefault="00000000" w:rsidP="005A0A9B">
            <w:pPr>
              <w:spacing w:before="0" w:line="240" w:lineRule="auto"/>
              <w:jc w:val="both"/>
              <w:rPr>
                <w:color w:val="000000"/>
              </w:rPr>
            </w:pPr>
            <w:r>
              <w:rPr>
                <w:color w:val="000000"/>
              </w:rPr>
              <w:t xml:space="preserve"> Liabilities</w:t>
            </w:r>
          </w:p>
        </w:tc>
        <w:tc>
          <w:tcPr>
            <w:tcW w:w="4961"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23F5B3B5" w14:textId="77777777" w:rsidR="005A0A9B" w:rsidRDefault="00000000" w:rsidP="005A0A9B">
            <w:pPr>
              <w:spacing w:before="0" w:line="240" w:lineRule="auto"/>
              <w:jc w:val="both"/>
              <w:rPr>
                <w:color w:val="000000"/>
              </w:rPr>
            </w:pPr>
            <w:proofErr w:type="spellStart"/>
            <w:r>
              <w:rPr>
                <w:color w:val="000000"/>
              </w:rPr>
              <w:t>C_Other_Liabilities</w:t>
            </w:r>
            <w:proofErr w:type="spellEnd"/>
          </w:p>
          <w:p w14:paraId="5971E37E" w14:textId="2874CD53" w:rsidR="0058584F" w:rsidRDefault="00000000" w:rsidP="005A0A9B">
            <w:pPr>
              <w:spacing w:before="0" w:line="240" w:lineRule="auto"/>
              <w:jc w:val="both"/>
              <w:rPr>
                <w:color w:val="000000"/>
              </w:rPr>
            </w:pPr>
            <w:proofErr w:type="spellStart"/>
            <w:r>
              <w:rPr>
                <w:color w:val="000000"/>
              </w:rPr>
              <w:t>D_Total_Liabilities_OR_Assets</w:t>
            </w:r>
            <w:proofErr w:type="spellEnd"/>
          </w:p>
        </w:tc>
        <w:tc>
          <w:tcPr>
            <w:tcW w:w="2564"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01313683" w14:textId="77777777" w:rsidR="0058584F" w:rsidRDefault="00000000" w:rsidP="005A0A9B">
            <w:pPr>
              <w:spacing w:before="0" w:line="240" w:lineRule="auto"/>
              <w:jc w:val="both"/>
              <w:rPr>
                <w:color w:val="000000"/>
              </w:rPr>
            </w:pPr>
            <w:r>
              <w:rPr>
                <w:color w:val="000000"/>
              </w:rPr>
              <w:t>Overall liabilities and assets on the RBI balance sheet</w:t>
            </w:r>
          </w:p>
        </w:tc>
      </w:tr>
      <w:tr w:rsidR="0058584F" w14:paraId="79A3FCC1" w14:textId="77777777" w:rsidTr="005A0A9B">
        <w:trPr>
          <w:trHeight w:val="725"/>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5243B575" w14:textId="77777777" w:rsidR="0058584F" w:rsidRDefault="00000000" w:rsidP="005A0A9B">
            <w:pPr>
              <w:spacing w:before="0" w:line="240" w:lineRule="auto"/>
              <w:jc w:val="both"/>
              <w:rPr>
                <w:color w:val="000000"/>
              </w:rPr>
            </w:pPr>
            <w:r>
              <w:rPr>
                <w:color w:val="000000"/>
              </w:rPr>
              <w:t>Assets (D)</w:t>
            </w:r>
          </w:p>
        </w:tc>
        <w:tc>
          <w:tcPr>
            <w:tcW w:w="4961"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1D6279B4" w14:textId="77777777" w:rsidR="005A0A9B" w:rsidRDefault="00000000" w:rsidP="005A0A9B">
            <w:pPr>
              <w:spacing w:before="0" w:line="240" w:lineRule="auto"/>
              <w:jc w:val="both"/>
              <w:rPr>
                <w:color w:val="000000"/>
              </w:rPr>
            </w:pPr>
            <w:r>
              <w:rPr>
                <w:color w:val="000000"/>
              </w:rPr>
              <w:t>D1_Foreign_Currency_Assets</w:t>
            </w:r>
          </w:p>
          <w:p w14:paraId="23227DA7" w14:textId="14585FDE" w:rsidR="005A0A9B" w:rsidRDefault="00000000" w:rsidP="005A0A9B">
            <w:pPr>
              <w:spacing w:before="0" w:line="240" w:lineRule="auto"/>
              <w:jc w:val="both"/>
              <w:rPr>
                <w:color w:val="000000"/>
              </w:rPr>
            </w:pPr>
            <w:r>
              <w:rPr>
                <w:color w:val="000000"/>
              </w:rPr>
              <w:t>D2_Gold</w:t>
            </w:r>
          </w:p>
          <w:p w14:paraId="0A9536AE" w14:textId="3919857A" w:rsidR="0058584F" w:rsidRDefault="00000000" w:rsidP="005A0A9B">
            <w:pPr>
              <w:spacing w:before="0" w:line="240" w:lineRule="auto"/>
              <w:jc w:val="both"/>
              <w:rPr>
                <w:color w:val="000000"/>
              </w:rPr>
            </w:pPr>
            <w:r>
              <w:rPr>
                <w:color w:val="000000"/>
              </w:rPr>
              <w:t>D3_Rupee_Securities</w:t>
            </w:r>
          </w:p>
        </w:tc>
        <w:tc>
          <w:tcPr>
            <w:tcW w:w="2564"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195F5747" w14:textId="77777777" w:rsidR="0058584F" w:rsidRDefault="00000000" w:rsidP="005A0A9B">
            <w:pPr>
              <w:spacing w:before="0" w:line="240" w:lineRule="auto"/>
              <w:jc w:val="both"/>
              <w:rPr>
                <w:color w:val="000000"/>
              </w:rPr>
            </w:pPr>
            <w:r>
              <w:rPr>
                <w:color w:val="000000"/>
              </w:rPr>
              <w:t>Composition of RBI’s asset holdings</w:t>
            </w:r>
          </w:p>
        </w:tc>
      </w:tr>
      <w:tr w:rsidR="0058584F" w14:paraId="45497778" w14:textId="77777777" w:rsidTr="005A0A9B">
        <w:trPr>
          <w:trHeight w:val="1335"/>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232480A2" w14:textId="77777777" w:rsidR="0058584F" w:rsidRDefault="00000000" w:rsidP="005A0A9B">
            <w:pPr>
              <w:spacing w:before="0" w:line="240" w:lineRule="auto"/>
              <w:jc w:val="both"/>
              <w:rPr>
                <w:color w:val="000000"/>
              </w:rPr>
            </w:pPr>
            <w:r>
              <w:rPr>
                <w:color w:val="000000"/>
              </w:rPr>
              <w:t xml:space="preserve"> Loans &amp; Advances (E)</w:t>
            </w:r>
          </w:p>
        </w:tc>
        <w:tc>
          <w:tcPr>
            <w:tcW w:w="4961"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4A679EE4" w14:textId="5D6AEE62" w:rsidR="0058584F" w:rsidRDefault="00000000" w:rsidP="005A0A9B">
            <w:pPr>
              <w:spacing w:before="0" w:line="240" w:lineRule="auto"/>
              <w:jc w:val="both"/>
              <w:rPr>
                <w:color w:val="000000"/>
              </w:rPr>
            </w:pPr>
            <w:r>
              <w:rPr>
                <w:color w:val="000000"/>
              </w:rPr>
              <w:t>E1_Loans_Central_Government, E2_Loans_State_Governments, E4_Loans_Scheduled_Commercial_Banks, E5_Loans_Scheduled_State_Co</w:t>
            </w:r>
            <w:r w:rsidR="005A0A9B">
              <w:rPr>
                <w:color w:val="000000"/>
              </w:rPr>
              <w:t>op</w:t>
            </w:r>
            <w:r>
              <w:rPr>
                <w:color w:val="000000"/>
              </w:rPr>
              <w:t>_Banks</w:t>
            </w:r>
          </w:p>
        </w:tc>
        <w:tc>
          <w:tcPr>
            <w:tcW w:w="2564"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04477B15" w14:textId="77777777" w:rsidR="0058584F" w:rsidRDefault="00000000" w:rsidP="005A0A9B">
            <w:pPr>
              <w:spacing w:before="0" w:line="240" w:lineRule="auto"/>
              <w:jc w:val="both"/>
              <w:rPr>
                <w:color w:val="000000"/>
              </w:rPr>
            </w:pPr>
            <w:r>
              <w:rPr>
                <w:color w:val="000000"/>
              </w:rPr>
              <w:t>Loans extended by RBI to various entities</w:t>
            </w:r>
          </w:p>
        </w:tc>
      </w:tr>
      <w:tr w:rsidR="005A0A9B" w14:paraId="24129A83" w14:textId="77777777" w:rsidTr="005A0A9B">
        <w:trPr>
          <w:trHeight w:val="169"/>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626C81D2" w14:textId="7BD86035" w:rsidR="005A0A9B" w:rsidRDefault="005A0A9B" w:rsidP="005A0A9B">
            <w:pPr>
              <w:spacing w:before="0" w:line="240" w:lineRule="auto"/>
              <w:jc w:val="both"/>
              <w:rPr>
                <w:color w:val="000000"/>
              </w:rPr>
            </w:pPr>
            <w:r>
              <w:rPr>
                <w:color w:val="000000"/>
              </w:rPr>
              <w:t>Investments &amp; Others</w:t>
            </w:r>
          </w:p>
        </w:tc>
        <w:tc>
          <w:tcPr>
            <w:tcW w:w="4961"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77BD412F" w14:textId="36EFD979" w:rsidR="005A0A9B" w:rsidRDefault="005A0A9B" w:rsidP="005A0A9B">
            <w:pPr>
              <w:spacing w:before="0" w:line="240" w:lineRule="auto"/>
              <w:jc w:val="both"/>
              <w:rPr>
                <w:color w:val="000000"/>
              </w:rPr>
            </w:pPr>
            <w:proofErr w:type="spellStart"/>
            <w:r>
              <w:rPr>
                <w:color w:val="000000"/>
              </w:rPr>
              <w:t>F_Investments</w:t>
            </w:r>
            <w:proofErr w:type="spellEnd"/>
            <w:r>
              <w:rPr>
                <w:color w:val="000000"/>
              </w:rPr>
              <w:t xml:space="preserve">, </w:t>
            </w:r>
            <w:proofErr w:type="spellStart"/>
            <w:r>
              <w:rPr>
                <w:color w:val="000000"/>
              </w:rPr>
              <w:t>G_Other_Assets</w:t>
            </w:r>
            <w:proofErr w:type="spellEnd"/>
          </w:p>
        </w:tc>
        <w:tc>
          <w:tcPr>
            <w:tcW w:w="2564"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327A977E" w14:textId="2A76D97D" w:rsidR="005A0A9B" w:rsidRDefault="005A0A9B" w:rsidP="005A0A9B">
            <w:pPr>
              <w:spacing w:before="0" w:line="240" w:lineRule="auto"/>
              <w:jc w:val="both"/>
              <w:rPr>
                <w:color w:val="000000"/>
              </w:rPr>
            </w:pPr>
            <w:r>
              <w:rPr>
                <w:color w:val="000000"/>
              </w:rPr>
              <w:t>Investments and miscellaneous assets</w:t>
            </w:r>
          </w:p>
        </w:tc>
      </w:tr>
      <w:tr w:rsidR="005A0A9B" w14:paraId="208485FA" w14:textId="77777777" w:rsidTr="005A0A9B">
        <w:trPr>
          <w:trHeight w:val="169"/>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2E792231" w14:textId="2C8264C8" w:rsidR="005A0A9B" w:rsidRDefault="005A0A9B" w:rsidP="005A0A9B">
            <w:pPr>
              <w:spacing w:before="0" w:line="240" w:lineRule="auto"/>
              <w:jc w:val="both"/>
              <w:rPr>
                <w:color w:val="000000"/>
              </w:rPr>
            </w:pPr>
            <w:r>
              <w:rPr>
                <w:color w:val="000000"/>
              </w:rPr>
              <w:t>Date</w:t>
            </w:r>
          </w:p>
        </w:tc>
        <w:tc>
          <w:tcPr>
            <w:tcW w:w="4961"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78218558" w14:textId="2161145D" w:rsidR="005A0A9B" w:rsidRDefault="005A0A9B" w:rsidP="005A0A9B">
            <w:pPr>
              <w:spacing w:before="0" w:line="240" w:lineRule="auto"/>
              <w:jc w:val="both"/>
              <w:rPr>
                <w:color w:val="000000"/>
              </w:rPr>
            </w:pPr>
            <w:proofErr w:type="spellStart"/>
            <w:r>
              <w:rPr>
                <w:color w:val="000000"/>
              </w:rPr>
              <w:t>Week_Ended</w:t>
            </w:r>
            <w:proofErr w:type="spellEnd"/>
            <w:r>
              <w:rPr>
                <w:color w:val="000000"/>
              </w:rPr>
              <w:t xml:space="preserve"> (set as index)</w:t>
            </w:r>
          </w:p>
        </w:tc>
        <w:tc>
          <w:tcPr>
            <w:tcW w:w="2564"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tcPr>
          <w:p w14:paraId="2457071C" w14:textId="614218DC" w:rsidR="005A0A9B" w:rsidRDefault="005A0A9B" w:rsidP="005A0A9B">
            <w:pPr>
              <w:spacing w:before="0" w:line="240" w:lineRule="auto"/>
              <w:jc w:val="both"/>
              <w:rPr>
                <w:color w:val="000000"/>
              </w:rPr>
            </w:pPr>
            <w:r>
              <w:rPr>
                <w:color w:val="000000"/>
              </w:rPr>
              <w:t xml:space="preserve">Date of the </w:t>
            </w:r>
            <w:r>
              <w:rPr>
                <w:color w:val="000000"/>
              </w:rPr>
              <w:t>report</w:t>
            </w:r>
            <w:r>
              <w:rPr>
                <w:color w:val="000000"/>
              </w:rPr>
              <w:t xml:space="preserve"> </w:t>
            </w:r>
          </w:p>
          <w:p w14:paraId="39056F1D" w14:textId="0B38B14D" w:rsidR="005A0A9B" w:rsidRDefault="005A0A9B" w:rsidP="005A0A9B">
            <w:pPr>
              <w:spacing w:before="0" w:line="240" w:lineRule="auto"/>
              <w:ind w:firstLine="720"/>
              <w:jc w:val="both"/>
              <w:rPr>
                <w:color w:val="000000"/>
              </w:rPr>
            </w:pPr>
          </w:p>
        </w:tc>
      </w:tr>
    </w:tbl>
    <w:p w14:paraId="527525AA" w14:textId="77777777" w:rsidR="0058584F" w:rsidRDefault="00000000" w:rsidP="005A0A9B">
      <w:pPr>
        <w:pStyle w:val="Heading3"/>
        <w:keepNext w:val="0"/>
        <w:keepLines w:val="0"/>
        <w:spacing w:before="280" w:after="80" w:line="312" w:lineRule="auto"/>
        <w:ind w:right="0"/>
        <w:jc w:val="both"/>
        <w:rPr>
          <w:rFonts w:ascii="Arial" w:eastAsia="Arial" w:hAnsi="Arial" w:cs="Arial"/>
          <w:b/>
          <w:color w:val="000000"/>
          <w:sz w:val="26"/>
          <w:szCs w:val="26"/>
        </w:rPr>
      </w:pPr>
      <w:bookmarkStart w:id="5" w:name="_38esmqa7fgmi" w:colFirst="0" w:colLast="0"/>
      <w:bookmarkEnd w:id="5"/>
      <w:r>
        <w:rPr>
          <w:rFonts w:ascii="Arial" w:eastAsia="Arial" w:hAnsi="Arial" w:cs="Arial"/>
          <w:b/>
          <w:color w:val="000000"/>
          <w:sz w:val="26"/>
          <w:szCs w:val="26"/>
        </w:rPr>
        <w:lastRenderedPageBreak/>
        <w:t>1.2 Significance of Time Series Analysis</w:t>
      </w:r>
    </w:p>
    <w:p w14:paraId="7332D42E"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Financial datasets exhibit sequential dependence—past events significantly influence future outcomes. Understanding these dependencies helps forecast macroeconomic indicators. The project identifies four major characteristics of time series data:</w:t>
      </w:r>
    </w:p>
    <w:p w14:paraId="0002D85C" w14:textId="77777777" w:rsidR="0058584F" w:rsidRDefault="00000000" w:rsidP="005A0A9B">
      <w:pPr>
        <w:numPr>
          <w:ilvl w:val="0"/>
          <w:numId w:val="3"/>
        </w:numPr>
        <w:spacing w:before="240"/>
        <w:ind w:right="0"/>
        <w:jc w:val="both"/>
        <w:rPr>
          <w:rFonts w:ascii="Arial" w:eastAsia="Arial" w:hAnsi="Arial" w:cs="Arial"/>
          <w:color w:val="000000"/>
          <w:sz w:val="22"/>
          <w:szCs w:val="22"/>
        </w:rPr>
      </w:pPr>
      <w:r>
        <w:rPr>
          <w:rFonts w:ascii="Arial" w:eastAsia="Arial" w:hAnsi="Arial" w:cs="Arial"/>
          <w:b/>
          <w:color w:val="000000"/>
          <w:sz w:val="22"/>
          <w:szCs w:val="22"/>
        </w:rPr>
        <w:t>Temporal Dependence:</w:t>
      </w:r>
      <w:r>
        <w:rPr>
          <w:rFonts w:ascii="Arial" w:eastAsia="Arial" w:hAnsi="Arial" w:cs="Arial"/>
          <w:color w:val="000000"/>
          <w:sz w:val="22"/>
          <w:szCs w:val="22"/>
        </w:rPr>
        <w:t xml:space="preserve"> Each observation relies on preceding values, representing continuity in economic behavior.</w:t>
      </w:r>
    </w:p>
    <w:p w14:paraId="0832E76A" w14:textId="77777777" w:rsidR="0058584F" w:rsidRDefault="00000000" w:rsidP="005A0A9B">
      <w:pPr>
        <w:numPr>
          <w:ilvl w:val="0"/>
          <w:numId w:val="3"/>
        </w:numPr>
        <w:spacing w:before="0"/>
        <w:ind w:right="0"/>
        <w:jc w:val="both"/>
        <w:rPr>
          <w:rFonts w:ascii="Arial" w:eastAsia="Arial" w:hAnsi="Arial" w:cs="Arial"/>
          <w:color w:val="000000"/>
          <w:sz w:val="22"/>
          <w:szCs w:val="22"/>
        </w:rPr>
      </w:pPr>
      <w:r>
        <w:rPr>
          <w:rFonts w:ascii="Arial" w:eastAsia="Arial" w:hAnsi="Arial" w:cs="Arial"/>
          <w:b/>
          <w:color w:val="000000"/>
          <w:sz w:val="22"/>
          <w:szCs w:val="22"/>
        </w:rPr>
        <w:t>Trend Components:</w:t>
      </w:r>
      <w:r>
        <w:rPr>
          <w:rFonts w:ascii="Arial" w:eastAsia="Arial" w:hAnsi="Arial" w:cs="Arial"/>
          <w:color w:val="000000"/>
          <w:sz w:val="22"/>
          <w:szCs w:val="22"/>
        </w:rPr>
        <w:t xml:space="preserve"> These depict long-term growth or decline influenced by fiscal and monetary policies.</w:t>
      </w:r>
    </w:p>
    <w:p w14:paraId="23E48482" w14:textId="77777777" w:rsidR="0058584F" w:rsidRDefault="00000000" w:rsidP="005A0A9B">
      <w:pPr>
        <w:numPr>
          <w:ilvl w:val="0"/>
          <w:numId w:val="3"/>
        </w:numPr>
        <w:spacing w:before="0"/>
        <w:ind w:right="0"/>
        <w:jc w:val="both"/>
        <w:rPr>
          <w:rFonts w:ascii="Arial" w:eastAsia="Arial" w:hAnsi="Arial" w:cs="Arial"/>
          <w:color w:val="000000"/>
          <w:sz w:val="22"/>
          <w:szCs w:val="22"/>
        </w:rPr>
      </w:pPr>
      <w:r>
        <w:rPr>
          <w:rFonts w:ascii="Arial" w:eastAsia="Arial" w:hAnsi="Arial" w:cs="Arial"/>
          <w:b/>
          <w:color w:val="000000"/>
          <w:sz w:val="22"/>
          <w:szCs w:val="22"/>
        </w:rPr>
        <w:t>Seasonality:</w:t>
      </w:r>
      <w:r>
        <w:rPr>
          <w:rFonts w:ascii="Arial" w:eastAsia="Arial" w:hAnsi="Arial" w:cs="Arial"/>
          <w:color w:val="000000"/>
          <w:sz w:val="22"/>
          <w:szCs w:val="22"/>
        </w:rPr>
        <w:t xml:space="preserve"> Cyclical patterns emerge due to recurring phenomena like fiscal year-end adjustments or festival-related spending.</w:t>
      </w:r>
    </w:p>
    <w:p w14:paraId="10BC3CFA" w14:textId="77777777" w:rsidR="0058584F" w:rsidRDefault="00000000" w:rsidP="005A0A9B">
      <w:pPr>
        <w:numPr>
          <w:ilvl w:val="0"/>
          <w:numId w:val="3"/>
        </w:numPr>
        <w:spacing w:before="0" w:after="240"/>
        <w:ind w:right="0"/>
        <w:jc w:val="both"/>
        <w:rPr>
          <w:rFonts w:ascii="Arial" w:eastAsia="Arial" w:hAnsi="Arial" w:cs="Arial"/>
          <w:color w:val="000000"/>
          <w:sz w:val="22"/>
          <w:szCs w:val="22"/>
        </w:rPr>
      </w:pPr>
      <w:r>
        <w:rPr>
          <w:rFonts w:ascii="Arial" w:eastAsia="Arial" w:hAnsi="Arial" w:cs="Arial"/>
          <w:b/>
          <w:color w:val="000000"/>
          <w:sz w:val="22"/>
          <w:szCs w:val="22"/>
        </w:rPr>
        <w:t>Stochastic Variations:</w:t>
      </w:r>
      <w:r>
        <w:rPr>
          <w:rFonts w:ascii="Arial" w:eastAsia="Arial" w:hAnsi="Arial" w:cs="Arial"/>
          <w:color w:val="000000"/>
          <w:sz w:val="22"/>
          <w:szCs w:val="22"/>
        </w:rPr>
        <w:t xml:space="preserve"> Unpredictable changes caused by shocks such as policy interventions, global crises, or liquidity injections.</w:t>
      </w:r>
    </w:p>
    <w:p w14:paraId="207C03B6"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Studying these components allows researchers to construct models that explain historical financial behavior and predict future developments.</w:t>
      </w:r>
    </w:p>
    <w:p w14:paraId="50A71C22" w14:textId="77777777" w:rsidR="0058584F" w:rsidRDefault="00000000" w:rsidP="005A0A9B">
      <w:pPr>
        <w:numPr>
          <w:ilvl w:val="0"/>
          <w:numId w:val="9"/>
        </w:numPr>
        <w:jc w:val="both"/>
        <w:rPr>
          <w:rFonts w:ascii="Arial" w:eastAsia="Arial" w:hAnsi="Arial" w:cs="Arial"/>
          <w:color w:val="000000"/>
          <w:sz w:val="22"/>
          <w:szCs w:val="22"/>
        </w:rPr>
      </w:pPr>
      <w:r>
        <w:rPr>
          <w:rFonts w:ascii="Arial" w:eastAsia="Arial" w:hAnsi="Arial" w:cs="Arial"/>
          <w:color w:val="000000"/>
          <w:sz w:val="22"/>
          <w:szCs w:val="22"/>
        </w:rPr>
        <w:t>Deposits vs Loans Relationships</w:t>
      </w:r>
    </w:p>
    <w:p w14:paraId="35EF14FA" w14:textId="77777777" w:rsidR="0058584F" w:rsidRDefault="00000000" w:rsidP="005A0A9B">
      <w:pPr>
        <w:numPr>
          <w:ilvl w:val="1"/>
          <w:numId w:val="9"/>
        </w:numPr>
        <w:jc w:val="both"/>
        <w:rPr>
          <w:rFonts w:ascii="Arial" w:eastAsia="Arial" w:hAnsi="Arial" w:cs="Arial"/>
          <w:color w:val="000000"/>
          <w:sz w:val="22"/>
          <w:szCs w:val="22"/>
        </w:rPr>
      </w:pPr>
      <w:r>
        <w:rPr>
          <w:rFonts w:ascii="Arial" w:eastAsia="Arial" w:hAnsi="Arial" w:cs="Arial"/>
          <w:color w:val="000000"/>
          <w:sz w:val="22"/>
          <w:szCs w:val="22"/>
        </w:rPr>
        <w:t>Correlation and trend comparison between respective entities (B1–E1, B3–E2, etc.)</w:t>
      </w:r>
    </w:p>
    <w:p w14:paraId="30047F62" w14:textId="77777777" w:rsidR="0058584F" w:rsidRDefault="00000000" w:rsidP="005A0A9B">
      <w:pPr>
        <w:numPr>
          <w:ilvl w:val="1"/>
          <w:numId w:val="9"/>
        </w:numPr>
        <w:jc w:val="both"/>
        <w:rPr>
          <w:rFonts w:ascii="Arial" w:eastAsia="Arial" w:hAnsi="Arial" w:cs="Arial"/>
          <w:color w:val="000000"/>
          <w:sz w:val="22"/>
          <w:szCs w:val="22"/>
        </w:rPr>
      </w:pPr>
      <w:r>
        <w:rPr>
          <w:rFonts w:ascii="Arial" w:eastAsia="Arial" w:hAnsi="Arial" w:cs="Arial"/>
          <w:color w:val="000000"/>
          <w:sz w:val="22"/>
          <w:szCs w:val="22"/>
        </w:rPr>
        <w:t>Insights into liquidity movements between governments and the banking system</w:t>
      </w:r>
    </w:p>
    <w:p w14:paraId="37978DCC" w14:textId="77777777" w:rsidR="0058584F" w:rsidRDefault="00000000" w:rsidP="005A0A9B">
      <w:pPr>
        <w:numPr>
          <w:ilvl w:val="0"/>
          <w:numId w:val="9"/>
        </w:numPr>
        <w:jc w:val="both"/>
        <w:rPr>
          <w:rFonts w:ascii="Arial" w:eastAsia="Arial" w:hAnsi="Arial" w:cs="Arial"/>
          <w:color w:val="000000"/>
          <w:sz w:val="22"/>
          <w:szCs w:val="22"/>
        </w:rPr>
      </w:pPr>
      <w:r>
        <w:rPr>
          <w:rFonts w:ascii="Arial" w:eastAsia="Arial" w:hAnsi="Arial" w:cs="Arial"/>
          <w:color w:val="000000"/>
          <w:sz w:val="22"/>
          <w:szCs w:val="22"/>
        </w:rPr>
        <w:t>Foreign Reserves Composition</w:t>
      </w:r>
    </w:p>
    <w:p w14:paraId="4C27919E" w14:textId="77777777" w:rsidR="0058584F" w:rsidRDefault="00000000" w:rsidP="005A0A9B">
      <w:pPr>
        <w:numPr>
          <w:ilvl w:val="1"/>
          <w:numId w:val="9"/>
        </w:numPr>
        <w:jc w:val="both"/>
        <w:rPr>
          <w:rFonts w:ascii="Arial" w:eastAsia="Arial" w:hAnsi="Arial" w:cs="Arial"/>
          <w:color w:val="000000"/>
          <w:sz w:val="22"/>
          <w:szCs w:val="22"/>
        </w:rPr>
      </w:pPr>
      <w:r>
        <w:rPr>
          <w:rFonts w:ascii="Arial Unicode MS" w:eastAsia="Arial Unicode MS" w:hAnsi="Arial Unicode MS" w:cs="Arial Unicode MS"/>
          <w:color w:val="000000"/>
          <w:sz w:val="22"/>
          <w:szCs w:val="22"/>
        </w:rPr>
        <w:t>Comparative analysis of D1, D2, D3</w:t>
      </w:r>
      <w:r>
        <w:rPr>
          <w:rFonts w:ascii="Arial Unicode MS" w:eastAsia="Arial Unicode MS" w:hAnsi="Arial Unicode MS" w:cs="Arial Unicode MS"/>
          <w:color w:val="000000"/>
          <w:sz w:val="22"/>
          <w:szCs w:val="22"/>
        </w:rPr>
        <w:br/>
        <w:t>→ Shows RBI’s balance between foreign currency assets, gold, and rupee securities</w:t>
      </w:r>
    </w:p>
    <w:p w14:paraId="250A3151" w14:textId="77777777" w:rsidR="0058584F" w:rsidRDefault="00000000" w:rsidP="005A0A9B">
      <w:pPr>
        <w:numPr>
          <w:ilvl w:val="0"/>
          <w:numId w:val="9"/>
        </w:numPr>
        <w:jc w:val="both"/>
        <w:rPr>
          <w:rFonts w:ascii="Arial" w:eastAsia="Arial" w:hAnsi="Arial" w:cs="Arial"/>
          <w:color w:val="000000"/>
          <w:sz w:val="22"/>
          <w:szCs w:val="22"/>
        </w:rPr>
      </w:pPr>
      <w:r>
        <w:rPr>
          <w:rFonts w:ascii="Arial" w:eastAsia="Arial" w:hAnsi="Arial" w:cs="Arial"/>
          <w:color w:val="000000"/>
          <w:sz w:val="22"/>
          <w:szCs w:val="22"/>
        </w:rPr>
        <w:t>Currency Circulation Trends</w:t>
      </w:r>
    </w:p>
    <w:p w14:paraId="1312BEE1" w14:textId="77777777" w:rsidR="0058584F" w:rsidRDefault="00000000" w:rsidP="005A0A9B">
      <w:pPr>
        <w:numPr>
          <w:ilvl w:val="1"/>
          <w:numId w:val="9"/>
        </w:numPr>
        <w:jc w:val="both"/>
        <w:rPr>
          <w:rFonts w:ascii="Arial" w:eastAsia="Arial" w:hAnsi="Arial" w:cs="Arial"/>
          <w:color w:val="000000"/>
          <w:sz w:val="22"/>
          <w:szCs w:val="22"/>
        </w:rPr>
      </w:pPr>
      <w:r>
        <w:rPr>
          <w:rFonts w:ascii="Arial" w:eastAsia="Arial" w:hAnsi="Arial" w:cs="Arial"/>
          <w:color w:val="000000"/>
          <w:sz w:val="22"/>
          <w:szCs w:val="22"/>
        </w:rPr>
        <w:t>A1 vs A2 illustrates how much currency is in active circulation vs retained by the RBI</w:t>
      </w:r>
    </w:p>
    <w:p w14:paraId="51317808" w14:textId="77777777" w:rsidR="0058584F" w:rsidRDefault="00000000" w:rsidP="005A0A9B">
      <w:pPr>
        <w:numPr>
          <w:ilvl w:val="0"/>
          <w:numId w:val="9"/>
        </w:numPr>
        <w:jc w:val="both"/>
        <w:rPr>
          <w:rFonts w:ascii="Arial" w:eastAsia="Arial" w:hAnsi="Arial" w:cs="Arial"/>
          <w:color w:val="000000"/>
          <w:sz w:val="22"/>
          <w:szCs w:val="22"/>
        </w:rPr>
      </w:pPr>
      <w:r>
        <w:rPr>
          <w:rFonts w:ascii="Arial" w:eastAsia="Arial" w:hAnsi="Arial" w:cs="Arial"/>
          <w:color w:val="000000"/>
          <w:sz w:val="22"/>
          <w:szCs w:val="22"/>
        </w:rPr>
        <w:t>Forecast Visualization</w:t>
      </w:r>
    </w:p>
    <w:p w14:paraId="71D6B0E2" w14:textId="77777777" w:rsidR="0058584F" w:rsidRDefault="00000000" w:rsidP="005A0A9B">
      <w:pPr>
        <w:numPr>
          <w:ilvl w:val="1"/>
          <w:numId w:val="9"/>
        </w:numPr>
        <w:jc w:val="both"/>
        <w:rPr>
          <w:rFonts w:ascii="Arial" w:eastAsia="Arial" w:hAnsi="Arial" w:cs="Arial"/>
          <w:color w:val="000000"/>
          <w:sz w:val="22"/>
          <w:szCs w:val="22"/>
        </w:rPr>
      </w:pPr>
      <w:r>
        <w:rPr>
          <w:rFonts w:ascii="Arial" w:eastAsia="Arial" w:hAnsi="Arial" w:cs="Arial"/>
          <w:color w:val="000000"/>
          <w:sz w:val="22"/>
          <w:szCs w:val="22"/>
        </w:rPr>
        <w:t>12-week projections for key variables</w:t>
      </w:r>
    </w:p>
    <w:p w14:paraId="544CB01B" w14:textId="77777777" w:rsidR="0058584F" w:rsidRDefault="00000000" w:rsidP="005A0A9B">
      <w:pPr>
        <w:numPr>
          <w:ilvl w:val="1"/>
          <w:numId w:val="9"/>
        </w:numPr>
        <w:jc w:val="both"/>
        <w:rPr>
          <w:rFonts w:ascii="Arial" w:eastAsia="Arial" w:hAnsi="Arial" w:cs="Arial"/>
          <w:color w:val="000000"/>
          <w:sz w:val="22"/>
          <w:szCs w:val="22"/>
        </w:rPr>
      </w:pPr>
      <w:r>
        <w:rPr>
          <w:rFonts w:ascii="Arial" w:eastAsia="Arial" w:hAnsi="Arial" w:cs="Arial"/>
          <w:color w:val="000000"/>
          <w:sz w:val="22"/>
          <w:szCs w:val="22"/>
        </w:rPr>
        <w:t>Trend continuation and anomaly detection</w:t>
      </w:r>
    </w:p>
    <w:p w14:paraId="3A1D7D36" w14:textId="77777777" w:rsidR="005A0A9B" w:rsidRDefault="005A0A9B" w:rsidP="005A0A9B">
      <w:pPr>
        <w:ind w:left="1440"/>
        <w:jc w:val="both"/>
        <w:rPr>
          <w:rFonts w:ascii="Arial" w:eastAsia="Arial" w:hAnsi="Arial" w:cs="Arial"/>
          <w:color w:val="000000"/>
          <w:sz w:val="22"/>
          <w:szCs w:val="22"/>
        </w:rPr>
      </w:pPr>
    </w:p>
    <w:p w14:paraId="1D0CEC21" w14:textId="77777777" w:rsidR="0058584F" w:rsidRDefault="0058584F" w:rsidP="005A0A9B">
      <w:pPr>
        <w:jc w:val="both"/>
      </w:pPr>
    </w:p>
    <w:p w14:paraId="13CB6C2F"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6" w:name="_lpbzr1ilrvt1" w:colFirst="0" w:colLast="0"/>
      <w:bookmarkEnd w:id="6"/>
      <w:r>
        <w:rPr>
          <w:rFonts w:ascii="Arial" w:eastAsia="Arial" w:hAnsi="Arial" w:cs="Arial"/>
          <w:sz w:val="34"/>
          <w:szCs w:val="34"/>
        </w:rPr>
        <w:lastRenderedPageBreak/>
        <w:t>2. Time Series Data Structure and Components</w:t>
      </w:r>
    </w:p>
    <w:p w14:paraId="7E01F168" w14:textId="77777777" w:rsidR="0058584F" w:rsidRDefault="00000000" w:rsidP="005A0A9B">
      <w:pPr>
        <w:pStyle w:val="Heading3"/>
        <w:keepNext w:val="0"/>
        <w:keepLines w:val="0"/>
        <w:spacing w:before="280" w:after="80" w:line="312" w:lineRule="auto"/>
        <w:ind w:right="0"/>
        <w:jc w:val="both"/>
        <w:rPr>
          <w:rFonts w:ascii="Arial" w:eastAsia="Arial" w:hAnsi="Arial" w:cs="Arial"/>
          <w:b/>
          <w:color w:val="000000"/>
          <w:sz w:val="26"/>
          <w:szCs w:val="26"/>
        </w:rPr>
      </w:pPr>
      <w:bookmarkStart w:id="7" w:name="_s18164s5nbwc" w:colFirst="0" w:colLast="0"/>
      <w:bookmarkEnd w:id="7"/>
      <w:r>
        <w:rPr>
          <w:rFonts w:ascii="Arial" w:eastAsia="Arial" w:hAnsi="Arial" w:cs="Arial"/>
          <w:b/>
          <w:color w:val="000000"/>
          <w:sz w:val="26"/>
          <w:szCs w:val="26"/>
        </w:rPr>
        <w:t>2.1 Dataset Overview</w:t>
      </w:r>
    </w:p>
    <w:p w14:paraId="2B9714AC"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dataset is a multivariate time series, containing weekly records of financial components that define India’s central banking structure. Key variables include:</w:t>
      </w:r>
    </w:p>
    <w:p w14:paraId="5E00E7EB" w14:textId="77777777" w:rsidR="0058584F" w:rsidRDefault="00000000" w:rsidP="005A0A9B">
      <w:pPr>
        <w:numPr>
          <w:ilvl w:val="0"/>
          <w:numId w:val="33"/>
        </w:numPr>
        <w:spacing w:before="240"/>
        <w:ind w:right="0"/>
        <w:jc w:val="both"/>
        <w:rPr>
          <w:rFonts w:ascii="Arial" w:eastAsia="Arial" w:hAnsi="Arial" w:cs="Arial"/>
          <w:color w:val="000000"/>
          <w:sz w:val="22"/>
          <w:szCs w:val="22"/>
        </w:rPr>
      </w:pPr>
      <w:r>
        <w:rPr>
          <w:rFonts w:ascii="Arial" w:eastAsia="Arial" w:hAnsi="Arial" w:cs="Arial"/>
          <w:b/>
          <w:color w:val="000000"/>
          <w:sz w:val="22"/>
          <w:szCs w:val="22"/>
        </w:rPr>
        <w:t>Currency Components (A-series):</w:t>
      </w:r>
      <w:r>
        <w:rPr>
          <w:rFonts w:ascii="Arial" w:eastAsia="Arial" w:hAnsi="Arial" w:cs="Arial"/>
          <w:color w:val="000000"/>
          <w:sz w:val="22"/>
          <w:szCs w:val="22"/>
        </w:rPr>
        <w:t xml:space="preserve"> Notes in circulation and notes held in the banking department.</w:t>
      </w:r>
    </w:p>
    <w:p w14:paraId="63CE0F9D" w14:textId="77777777" w:rsidR="0058584F" w:rsidRDefault="00000000" w:rsidP="005A0A9B">
      <w:pPr>
        <w:numPr>
          <w:ilvl w:val="0"/>
          <w:numId w:val="33"/>
        </w:numPr>
        <w:spacing w:before="0"/>
        <w:ind w:right="0"/>
        <w:jc w:val="both"/>
        <w:rPr>
          <w:rFonts w:ascii="Arial" w:eastAsia="Arial" w:hAnsi="Arial" w:cs="Arial"/>
          <w:color w:val="000000"/>
          <w:sz w:val="22"/>
          <w:szCs w:val="22"/>
        </w:rPr>
      </w:pPr>
      <w:r>
        <w:rPr>
          <w:rFonts w:ascii="Arial" w:eastAsia="Arial" w:hAnsi="Arial" w:cs="Arial"/>
          <w:b/>
          <w:color w:val="000000"/>
          <w:sz w:val="22"/>
          <w:szCs w:val="22"/>
        </w:rPr>
        <w:t>Deposit Components (B-series):</w:t>
      </w:r>
      <w:r>
        <w:rPr>
          <w:rFonts w:ascii="Arial" w:eastAsia="Arial" w:hAnsi="Arial" w:cs="Arial"/>
          <w:color w:val="000000"/>
          <w:sz w:val="22"/>
          <w:szCs w:val="22"/>
        </w:rPr>
        <w:t xml:space="preserve"> Deposits by central and state governments, scheduled commercial banks, and cooperative banks.</w:t>
      </w:r>
    </w:p>
    <w:p w14:paraId="7339F3CA" w14:textId="77777777" w:rsidR="0058584F" w:rsidRDefault="00000000" w:rsidP="005A0A9B">
      <w:pPr>
        <w:numPr>
          <w:ilvl w:val="0"/>
          <w:numId w:val="33"/>
        </w:numPr>
        <w:spacing w:before="0" w:after="240"/>
        <w:ind w:right="0"/>
        <w:jc w:val="both"/>
        <w:rPr>
          <w:rFonts w:ascii="Arial" w:eastAsia="Arial" w:hAnsi="Arial" w:cs="Arial"/>
          <w:color w:val="000000"/>
          <w:sz w:val="22"/>
          <w:szCs w:val="22"/>
        </w:rPr>
      </w:pPr>
      <w:r>
        <w:rPr>
          <w:rFonts w:ascii="Arial" w:eastAsia="Arial" w:hAnsi="Arial" w:cs="Arial"/>
          <w:b/>
          <w:color w:val="000000"/>
          <w:sz w:val="22"/>
          <w:szCs w:val="22"/>
        </w:rPr>
        <w:t>Asset Components (D-series):</w:t>
      </w:r>
      <w:r>
        <w:rPr>
          <w:rFonts w:ascii="Arial" w:eastAsia="Arial" w:hAnsi="Arial" w:cs="Arial"/>
          <w:color w:val="000000"/>
          <w:sz w:val="22"/>
          <w:szCs w:val="22"/>
        </w:rPr>
        <w:t xml:space="preserve"> Foreign currency assets, gold holdings, and rupee securities that make up RBI’s investment and reserve portfolio.</w:t>
      </w:r>
    </w:p>
    <w:p w14:paraId="114A92F5" w14:textId="77777777" w:rsidR="0058584F" w:rsidRDefault="00000000" w:rsidP="005A0A9B">
      <w:pPr>
        <w:spacing w:before="240" w:after="240"/>
        <w:ind w:left="720" w:right="0"/>
        <w:jc w:val="both"/>
        <w:rPr>
          <w:rFonts w:ascii="Arial" w:eastAsia="Arial" w:hAnsi="Arial" w:cs="Arial"/>
          <w:color w:val="000000"/>
          <w:sz w:val="22"/>
          <w:szCs w:val="22"/>
        </w:rPr>
      </w:pPr>
      <w:r>
        <w:rPr>
          <w:rFonts w:ascii="Arial" w:eastAsia="Arial" w:hAnsi="Arial" w:cs="Arial"/>
          <w:noProof/>
          <w:color w:val="000000"/>
          <w:sz w:val="22"/>
          <w:szCs w:val="22"/>
        </w:rPr>
        <w:drawing>
          <wp:inline distT="114300" distB="114300" distL="114300" distR="114300" wp14:anchorId="093ED9AB" wp14:editId="4B312A18">
            <wp:extent cx="4119899" cy="1761257"/>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t="6092"/>
                    <a:stretch>
                      <a:fillRect/>
                    </a:stretch>
                  </pic:blipFill>
                  <pic:spPr>
                    <a:xfrm>
                      <a:off x="0" y="0"/>
                      <a:ext cx="4119899" cy="1761257"/>
                    </a:xfrm>
                    <a:prstGeom prst="rect">
                      <a:avLst/>
                    </a:prstGeom>
                    <a:ln/>
                  </pic:spPr>
                </pic:pic>
              </a:graphicData>
            </a:graphic>
          </wp:inline>
        </w:drawing>
      </w:r>
    </w:p>
    <w:p w14:paraId="74F47D2B" w14:textId="77777777" w:rsidR="0058584F" w:rsidRDefault="00000000" w:rsidP="005A0A9B">
      <w:pPr>
        <w:numPr>
          <w:ilvl w:val="0"/>
          <w:numId w:val="33"/>
        </w:numPr>
        <w:spacing w:before="240"/>
        <w:ind w:right="0"/>
        <w:jc w:val="both"/>
        <w:rPr>
          <w:rFonts w:ascii="Arial" w:eastAsia="Arial" w:hAnsi="Arial" w:cs="Arial"/>
          <w:color w:val="000000"/>
          <w:sz w:val="22"/>
          <w:szCs w:val="22"/>
        </w:rPr>
      </w:pPr>
      <w:r>
        <w:rPr>
          <w:rFonts w:ascii="Arial" w:eastAsia="Arial" w:hAnsi="Arial" w:cs="Arial"/>
          <w:b/>
          <w:color w:val="000000"/>
          <w:sz w:val="22"/>
          <w:szCs w:val="22"/>
        </w:rPr>
        <w:t>Loan Components (E-series):</w:t>
      </w:r>
      <w:r>
        <w:rPr>
          <w:rFonts w:ascii="Arial" w:eastAsia="Arial" w:hAnsi="Arial" w:cs="Arial"/>
          <w:color w:val="000000"/>
          <w:sz w:val="22"/>
          <w:szCs w:val="22"/>
        </w:rPr>
        <w:t xml:space="preserve"> Loans issued to central and state governments, commercial banks, and cooperative institutions.</w:t>
      </w:r>
    </w:p>
    <w:p w14:paraId="6272D55A" w14:textId="77777777" w:rsidR="0058584F" w:rsidRDefault="00000000" w:rsidP="005A0A9B">
      <w:pPr>
        <w:numPr>
          <w:ilvl w:val="0"/>
          <w:numId w:val="33"/>
        </w:numPr>
        <w:spacing w:before="0" w:after="240"/>
        <w:ind w:right="0"/>
        <w:jc w:val="both"/>
        <w:rPr>
          <w:rFonts w:ascii="Arial" w:eastAsia="Arial" w:hAnsi="Arial" w:cs="Arial"/>
          <w:color w:val="000000"/>
          <w:sz w:val="22"/>
          <w:szCs w:val="22"/>
        </w:rPr>
      </w:pPr>
      <w:r>
        <w:rPr>
          <w:rFonts w:ascii="Arial" w:eastAsia="Arial" w:hAnsi="Arial" w:cs="Arial"/>
          <w:b/>
          <w:color w:val="000000"/>
          <w:sz w:val="22"/>
          <w:szCs w:val="22"/>
        </w:rPr>
        <w:t>Other Financial Metrics:</w:t>
      </w:r>
      <w:r>
        <w:rPr>
          <w:rFonts w:ascii="Arial" w:eastAsia="Arial" w:hAnsi="Arial" w:cs="Arial"/>
          <w:color w:val="000000"/>
          <w:sz w:val="22"/>
          <w:szCs w:val="22"/>
        </w:rPr>
        <w:t xml:space="preserve"> Investments, total liabilities, and total assets—providing a complete view of RBI’s financial position.</w:t>
      </w:r>
    </w:p>
    <w:p w14:paraId="6A6FCBEA" w14:textId="77777777" w:rsidR="0058584F" w:rsidRDefault="00000000" w:rsidP="005A0A9B">
      <w:pPr>
        <w:pStyle w:val="Heading3"/>
        <w:keepNext w:val="0"/>
        <w:keepLines w:val="0"/>
        <w:spacing w:before="280" w:after="80" w:line="312" w:lineRule="auto"/>
        <w:ind w:right="0"/>
        <w:jc w:val="both"/>
        <w:rPr>
          <w:rFonts w:ascii="Arial" w:eastAsia="Arial" w:hAnsi="Arial" w:cs="Arial"/>
          <w:b/>
          <w:color w:val="000000"/>
          <w:sz w:val="26"/>
          <w:szCs w:val="26"/>
        </w:rPr>
      </w:pPr>
      <w:bookmarkStart w:id="8" w:name="_x4r6h75oqjt1" w:colFirst="0" w:colLast="0"/>
      <w:bookmarkEnd w:id="8"/>
      <w:r>
        <w:rPr>
          <w:rFonts w:ascii="Arial" w:eastAsia="Arial" w:hAnsi="Arial" w:cs="Arial"/>
          <w:b/>
          <w:color w:val="000000"/>
          <w:sz w:val="26"/>
          <w:szCs w:val="26"/>
        </w:rPr>
        <w:t>2.2 Temporal Indexing</w:t>
      </w:r>
    </w:p>
    <w:p w14:paraId="5DEEB143"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 xml:space="preserve">Time indexing ensures that all records are chronologically ordered using the </w:t>
      </w:r>
      <w:proofErr w:type="spellStart"/>
      <w:r>
        <w:rPr>
          <w:rFonts w:ascii="Roboto Mono" w:eastAsia="Roboto Mono" w:hAnsi="Roboto Mono" w:cs="Roboto Mono"/>
          <w:color w:val="188038"/>
          <w:sz w:val="22"/>
          <w:szCs w:val="22"/>
        </w:rPr>
        <w:t>Week_Ended</w:t>
      </w:r>
      <w:proofErr w:type="spellEnd"/>
      <w:r>
        <w:rPr>
          <w:rFonts w:ascii="Arial" w:eastAsia="Arial" w:hAnsi="Arial" w:cs="Arial"/>
          <w:color w:val="000000"/>
          <w:sz w:val="22"/>
          <w:szCs w:val="22"/>
        </w:rPr>
        <w:t xml:space="preserve"> field. The conversion to Python’s </w:t>
      </w:r>
      <w:proofErr w:type="spellStart"/>
      <w:r>
        <w:rPr>
          <w:rFonts w:ascii="Roboto Mono" w:eastAsia="Roboto Mono" w:hAnsi="Roboto Mono" w:cs="Roboto Mono"/>
          <w:color w:val="188038"/>
          <w:sz w:val="22"/>
          <w:szCs w:val="22"/>
        </w:rPr>
        <w:t>DatetimeIndex</w:t>
      </w:r>
      <w:proofErr w:type="spellEnd"/>
      <w:r>
        <w:rPr>
          <w:rFonts w:ascii="Arial" w:eastAsia="Arial" w:hAnsi="Arial" w:cs="Arial"/>
          <w:color w:val="000000"/>
          <w:sz w:val="22"/>
          <w:szCs w:val="22"/>
        </w:rPr>
        <w:t xml:space="preserve"> structure (</w:t>
      </w:r>
      <w:proofErr w:type="spellStart"/>
      <w:r>
        <w:rPr>
          <w:rFonts w:ascii="Roboto Mono" w:eastAsia="Roboto Mono" w:hAnsi="Roboto Mono" w:cs="Roboto Mono"/>
          <w:color w:val="188038"/>
          <w:sz w:val="22"/>
          <w:szCs w:val="22"/>
        </w:rPr>
        <w:t>pd.to_datetime</w:t>
      </w:r>
      <w:proofErr w:type="spellEnd"/>
      <w:r>
        <w:rPr>
          <w:rFonts w:ascii="Roboto Mono" w:eastAsia="Roboto Mono" w:hAnsi="Roboto Mono" w:cs="Roboto Mono"/>
          <w:color w:val="188038"/>
          <w:sz w:val="22"/>
          <w:szCs w:val="22"/>
        </w:rPr>
        <w:t>()</w:t>
      </w:r>
      <w:r>
        <w:rPr>
          <w:rFonts w:ascii="Arial" w:eastAsia="Arial" w:hAnsi="Arial" w:cs="Arial"/>
          <w:color w:val="000000"/>
          <w:sz w:val="22"/>
          <w:szCs w:val="22"/>
        </w:rPr>
        <w:t>) facilitates:</w:t>
      </w:r>
    </w:p>
    <w:p w14:paraId="29134EB4" w14:textId="77777777" w:rsidR="0058584F" w:rsidRDefault="00000000" w:rsidP="005A0A9B">
      <w:pPr>
        <w:numPr>
          <w:ilvl w:val="0"/>
          <w:numId w:val="32"/>
        </w:numPr>
        <w:spacing w:before="240"/>
        <w:ind w:right="0"/>
        <w:jc w:val="both"/>
        <w:rPr>
          <w:rFonts w:ascii="Arial" w:eastAsia="Arial" w:hAnsi="Arial" w:cs="Arial"/>
          <w:color w:val="000000"/>
          <w:sz w:val="22"/>
          <w:szCs w:val="22"/>
        </w:rPr>
      </w:pPr>
      <w:r>
        <w:rPr>
          <w:rFonts w:ascii="Arial" w:eastAsia="Arial" w:hAnsi="Arial" w:cs="Arial"/>
          <w:b/>
          <w:color w:val="000000"/>
          <w:sz w:val="22"/>
          <w:szCs w:val="22"/>
        </w:rPr>
        <w:t>Temporal Ordering:</w:t>
      </w:r>
      <w:r>
        <w:rPr>
          <w:rFonts w:ascii="Arial" w:eastAsia="Arial" w:hAnsi="Arial" w:cs="Arial"/>
          <w:color w:val="000000"/>
          <w:sz w:val="22"/>
          <w:szCs w:val="22"/>
        </w:rPr>
        <w:t xml:space="preserve"> Preserves data sequence integrity.</w:t>
      </w:r>
    </w:p>
    <w:p w14:paraId="64BF106D" w14:textId="77777777" w:rsidR="0058584F" w:rsidRDefault="00000000" w:rsidP="005A0A9B">
      <w:pPr>
        <w:numPr>
          <w:ilvl w:val="0"/>
          <w:numId w:val="32"/>
        </w:numPr>
        <w:spacing w:before="0"/>
        <w:ind w:right="0"/>
        <w:jc w:val="both"/>
        <w:rPr>
          <w:rFonts w:ascii="Arial" w:eastAsia="Arial" w:hAnsi="Arial" w:cs="Arial"/>
          <w:color w:val="000000"/>
          <w:sz w:val="22"/>
          <w:szCs w:val="22"/>
        </w:rPr>
      </w:pPr>
      <w:r>
        <w:rPr>
          <w:rFonts w:ascii="Arial" w:eastAsia="Arial" w:hAnsi="Arial" w:cs="Arial"/>
          <w:b/>
          <w:color w:val="000000"/>
          <w:sz w:val="22"/>
          <w:szCs w:val="22"/>
        </w:rPr>
        <w:t>Frequency Recognition:</w:t>
      </w:r>
      <w:r>
        <w:rPr>
          <w:rFonts w:ascii="Arial" w:eastAsia="Arial" w:hAnsi="Arial" w:cs="Arial"/>
          <w:color w:val="000000"/>
          <w:sz w:val="22"/>
          <w:szCs w:val="22"/>
        </w:rPr>
        <w:t xml:space="preserve"> Detects weekly frequency for accurate analysis.</w:t>
      </w:r>
    </w:p>
    <w:p w14:paraId="10E618EA" w14:textId="77777777" w:rsidR="0058584F" w:rsidRDefault="00000000" w:rsidP="005A0A9B">
      <w:pPr>
        <w:numPr>
          <w:ilvl w:val="0"/>
          <w:numId w:val="32"/>
        </w:numPr>
        <w:spacing w:before="0"/>
        <w:ind w:right="0"/>
        <w:jc w:val="both"/>
        <w:rPr>
          <w:rFonts w:ascii="Arial" w:eastAsia="Arial" w:hAnsi="Arial" w:cs="Arial"/>
          <w:color w:val="000000"/>
          <w:sz w:val="22"/>
          <w:szCs w:val="22"/>
        </w:rPr>
      </w:pPr>
      <w:r>
        <w:rPr>
          <w:rFonts w:ascii="Arial" w:eastAsia="Arial" w:hAnsi="Arial" w:cs="Arial"/>
          <w:b/>
          <w:color w:val="000000"/>
          <w:sz w:val="22"/>
          <w:szCs w:val="22"/>
        </w:rPr>
        <w:t>Rolling Calculations:</w:t>
      </w:r>
      <w:r>
        <w:rPr>
          <w:rFonts w:ascii="Arial" w:eastAsia="Arial" w:hAnsi="Arial" w:cs="Arial"/>
          <w:color w:val="000000"/>
          <w:sz w:val="22"/>
          <w:szCs w:val="22"/>
        </w:rPr>
        <w:t xml:space="preserve"> Enables moving averages and trend analysis.</w:t>
      </w:r>
    </w:p>
    <w:p w14:paraId="04E53DBB" w14:textId="246F0FA6" w:rsidR="0058584F" w:rsidRPr="005A0A9B" w:rsidRDefault="00000000" w:rsidP="005A0A9B">
      <w:pPr>
        <w:numPr>
          <w:ilvl w:val="0"/>
          <w:numId w:val="32"/>
        </w:numPr>
        <w:spacing w:before="0" w:after="240"/>
        <w:ind w:right="0"/>
        <w:jc w:val="both"/>
        <w:rPr>
          <w:rFonts w:ascii="Arial" w:eastAsia="Arial" w:hAnsi="Arial" w:cs="Arial"/>
          <w:color w:val="000000"/>
          <w:sz w:val="22"/>
          <w:szCs w:val="22"/>
        </w:rPr>
      </w:pPr>
      <w:r>
        <w:rPr>
          <w:rFonts w:ascii="Arial" w:eastAsia="Arial" w:hAnsi="Arial" w:cs="Arial"/>
          <w:b/>
          <w:color w:val="000000"/>
          <w:sz w:val="22"/>
          <w:szCs w:val="22"/>
        </w:rPr>
        <w:t>Model Compatibility:</w:t>
      </w:r>
      <w:r>
        <w:rPr>
          <w:rFonts w:ascii="Arial" w:eastAsia="Arial" w:hAnsi="Arial" w:cs="Arial"/>
          <w:color w:val="000000"/>
          <w:sz w:val="22"/>
          <w:szCs w:val="22"/>
        </w:rPr>
        <w:t xml:space="preserve"> Many forecasting models, such as ARIMA, require datetime-indexed data</w:t>
      </w:r>
      <w:r w:rsidR="005A0A9B">
        <w:rPr>
          <w:rFonts w:ascii="Arial" w:eastAsia="Arial" w:hAnsi="Arial" w:cs="Arial"/>
          <w:color w:val="000000"/>
          <w:sz w:val="22"/>
          <w:szCs w:val="22"/>
        </w:rPr>
        <w:t>.</w:t>
      </w:r>
    </w:p>
    <w:p w14:paraId="697DF297"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9" w:name="_w82127clqpu4" w:colFirst="0" w:colLast="0"/>
      <w:bookmarkEnd w:id="9"/>
      <w:r>
        <w:rPr>
          <w:rFonts w:ascii="Arial" w:eastAsia="Arial" w:hAnsi="Arial" w:cs="Arial"/>
          <w:sz w:val="34"/>
          <w:szCs w:val="34"/>
        </w:rPr>
        <w:lastRenderedPageBreak/>
        <w:t>3. Time Series Data Preprocessing Techniques</w:t>
      </w:r>
    </w:p>
    <w:p w14:paraId="1FD08BE2"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10" w:name="_12xer1nw5l0t" w:colFirst="0" w:colLast="0"/>
      <w:bookmarkEnd w:id="10"/>
      <w:r>
        <w:rPr>
          <w:rFonts w:ascii="Arial" w:eastAsia="Arial" w:hAnsi="Arial" w:cs="Arial"/>
          <w:b/>
          <w:color w:val="000000"/>
          <w:sz w:val="26"/>
          <w:szCs w:val="26"/>
        </w:rPr>
        <w:t>3.1 Missing Value Treatment</w:t>
      </w:r>
    </w:p>
    <w:p w14:paraId="1E932EB3"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Time series data often contains gaps due to holidays, system failures, or reporting delays. The project addresses missing values through several strategies:</w:t>
      </w:r>
    </w:p>
    <w:p w14:paraId="0F735B74"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Forward Fill (FFILL): Propagates the last valid observation forward, appropriate when values change slowly and the gap is small. This assumes that the most recent observation is the best estimate for missing periods.</w:t>
      </w:r>
    </w:p>
    <w:p w14:paraId="57881D1F"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Backward Fill (BFILL): Uses the next valid observation to fill gaps, suitable for preliminary data cleaning.</w:t>
      </w:r>
    </w:p>
    <w:p w14:paraId="1BD22001"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Interpolation: For time series data, linear or polynomial interpolation can estimate missing values based on surrounding observations, maintaining the continuity of trends.</w:t>
      </w:r>
    </w:p>
    <w:p w14:paraId="672295DC" w14:textId="77777777" w:rsidR="0058584F" w:rsidRDefault="00000000" w:rsidP="005A0A9B">
      <w:pPr>
        <w:spacing w:before="240" w:after="240"/>
        <w:ind w:right="0"/>
        <w:jc w:val="center"/>
        <w:rPr>
          <w:rFonts w:ascii="Arial" w:eastAsia="Arial" w:hAnsi="Arial" w:cs="Arial"/>
          <w:color w:val="000000"/>
          <w:sz w:val="22"/>
          <w:szCs w:val="22"/>
        </w:rPr>
      </w:pPr>
      <w:r>
        <w:rPr>
          <w:rFonts w:ascii="Arial" w:eastAsia="Arial" w:hAnsi="Arial" w:cs="Arial"/>
          <w:noProof/>
          <w:color w:val="000000"/>
          <w:sz w:val="22"/>
          <w:szCs w:val="22"/>
        </w:rPr>
        <w:drawing>
          <wp:inline distT="114300" distB="114300" distL="114300" distR="114300" wp14:anchorId="3828C4AB" wp14:editId="6F69C73C">
            <wp:extent cx="4540250" cy="1854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540250" cy="1854200"/>
                    </a:xfrm>
                    <a:prstGeom prst="rect">
                      <a:avLst/>
                    </a:prstGeom>
                    <a:ln/>
                  </pic:spPr>
                </pic:pic>
              </a:graphicData>
            </a:graphic>
          </wp:inline>
        </w:drawing>
      </w:r>
    </w:p>
    <w:p w14:paraId="12BE3E93" w14:textId="10B016E9" w:rsidR="005A0A9B"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choice of method depends on the nature of missing data and the underlying assumption about how values evolve over time.</w:t>
      </w:r>
    </w:p>
    <w:p w14:paraId="7921A4CA"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11" w:name="_ivx9q3whs7f6" w:colFirst="0" w:colLast="0"/>
      <w:bookmarkEnd w:id="11"/>
      <w:r>
        <w:rPr>
          <w:rFonts w:ascii="Arial" w:eastAsia="Arial" w:hAnsi="Arial" w:cs="Arial"/>
          <w:b/>
          <w:color w:val="000000"/>
          <w:sz w:val="26"/>
          <w:szCs w:val="26"/>
        </w:rPr>
        <w:t>3.2 Data Formatting and Standardization</w:t>
      </w:r>
    </w:p>
    <w:p w14:paraId="1ABBC0A3"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Financial data often requires cleaning of monetary formats, including:</w:t>
      </w:r>
    </w:p>
    <w:p w14:paraId="2FD9EC61" w14:textId="77777777" w:rsidR="0058584F" w:rsidRDefault="00000000" w:rsidP="005A0A9B">
      <w:pPr>
        <w:numPr>
          <w:ilvl w:val="0"/>
          <w:numId w:val="8"/>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Removing currency symbols and separators</w:t>
      </w:r>
    </w:p>
    <w:p w14:paraId="564E23CC" w14:textId="77777777" w:rsidR="0058584F" w:rsidRDefault="00000000" w:rsidP="005A0A9B">
      <w:pPr>
        <w:numPr>
          <w:ilvl w:val="0"/>
          <w:numId w:val="8"/>
        </w:numPr>
        <w:spacing w:before="0"/>
        <w:ind w:right="0"/>
        <w:jc w:val="both"/>
        <w:rPr>
          <w:rFonts w:ascii="Arial" w:eastAsia="Arial" w:hAnsi="Arial" w:cs="Arial"/>
          <w:color w:val="000000"/>
          <w:sz w:val="22"/>
          <w:szCs w:val="22"/>
        </w:rPr>
      </w:pPr>
      <w:r>
        <w:rPr>
          <w:rFonts w:ascii="Arial" w:eastAsia="Arial" w:hAnsi="Arial" w:cs="Arial"/>
          <w:color w:val="000000"/>
          <w:sz w:val="22"/>
          <w:szCs w:val="22"/>
        </w:rPr>
        <w:t>Converting string representations to numeric types</w:t>
      </w:r>
    </w:p>
    <w:p w14:paraId="0EC02BCB" w14:textId="77777777" w:rsidR="0058584F" w:rsidRDefault="00000000" w:rsidP="005A0A9B">
      <w:pPr>
        <w:numPr>
          <w:ilvl w:val="0"/>
          <w:numId w:val="8"/>
        </w:numPr>
        <w:spacing w:before="0"/>
        <w:ind w:right="0"/>
        <w:jc w:val="both"/>
        <w:rPr>
          <w:rFonts w:ascii="Arial" w:eastAsia="Arial" w:hAnsi="Arial" w:cs="Arial"/>
          <w:color w:val="000000"/>
          <w:sz w:val="22"/>
          <w:szCs w:val="22"/>
        </w:rPr>
      </w:pPr>
      <w:r>
        <w:rPr>
          <w:rFonts w:ascii="Arial" w:eastAsia="Arial" w:hAnsi="Arial" w:cs="Arial"/>
          <w:color w:val="000000"/>
          <w:sz w:val="22"/>
          <w:szCs w:val="22"/>
        </w:rPr>
        <w:t>Handling different scaling factors (thousands, millions, crores)</w:t>
      </w:r>
    </w:p>
    <w:p w14:paraId="7D5CC6AF" w14:textId="77777777" w:rsidR="0058584F" w:rsidRDefault="00000000" w:rsidP="005A0A9B">
      <w:pPr>
        <w:numPr>
          <w:ilvl w:val="0"/>
          <w:numId w:val="8"/>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Ensuring consistent decimal representations</w:t>
      </w:r>
    </w:p>
    <w:p w14:paraId="6B3F33C3"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This preprocessing is essential because statistical models require numeric input in standardized formats.</w:t>
      </w:r>
    </w:p>
    <w:p w14:paraId="72B1BA58"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12" w:name="_flphkku58r6y" w:colFirst="0" w:colLast="0"/>
      <w:bookmarkEnd w:id="12"/>
      <w:r>
        <w:rPr>
          <w:rFonts w:ascii="Arial" w:eastAsia="Arial" w:hAnsi="Arial" w:cs="Arial"/>
          <w:sz w:val="34"/>
          <w:szCs w:val="34"/>
        </w:rPr>
        <w:lastRenderedPageBreak/>
        <w:t>4. Exploratory Time Series Analysis</w:t>
      </w:r>
    </w:p>
    <w:p w14:paraId="2746C193"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13" w:name="_45pqekz19wth" w:colFirst="0" w:colLast="0"/>
      <w:bookmarkEnd w:id="13"/>
      <w:r>
        <w:rPr>
          <w:rFonts w:ascii="Arial" w:eastAsia="Arial" w:hAnsi="Arial" w:cs="Arial"/>
          <w:b/>
          <w:color w:val="000000"/>
          <w:sz w:val="26"/>
          <w:szCs w:val="26"/>
        </w:rPr>
        <w:t>4.1 Univariate Time Series Visualization</w:t>
      </w:r>
    </w:p>
    <w:p w14:paraId="607CE4C4"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project uses line plots to display individual time series, which is the very first step in understanding temporal patterns. The critical aspects to be investigated include:</w:t>
      </w:r>
    </w:p>
    <w:p w14:paraId="32610E2B" w14:textId="77777777" w:rsidR="0058584F" w:rsidRDefault="00000000" w:rsidP="005A0A9B">
      <w:pPr>
        <w:numPr>
          <w:ilvl w:val="0"/>
          <w:numId w:val="41"/>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Trend Analysis: This involves the determination of long-term directional movements from visual inspection and moving averages. Trends in financial data may be:</w:t>
      </w:r>
    </w:p>
    <w:p w14:paraId="50694EBA" w14:textId="77777777" w:rsidR="0058584F" w:rsidRDefault="00000000" w:rsidP="005A0A9B">
      <w:pPr>
        <w:numPr>
          <w:ilvl w:val="0"/>
          <w:numId w:val="41"/>
        </w:numPr>
        <w:spacing w:before="0"/>
        <w:ind w:right="0"/>
        <w:jc w:val="both"/>
        <w:rPr>
          <w:rFonts w:ascii="Arial" w:eastAsia="Arial" w:hAnsi="Arial" w:cs="Arial"/>
          <w:color w:val="000000"/>
          <w:sz w:val="22"/>
          <w:szCs w:val="22"/>
        </w:rPr>
      </w:pPr>
      <w:r>
        <w:rPr>
          <w:rFonts w:ascii="Arial" w:eastAsia="Arial" w:hAnsi="Arial" w:cs="Arial"/>
          <w:color w:val="000000"/>
          <w:sz w:val="22"/>
          <w:szCs w:val="22"/>
        </w:rPr>
        <w:t>Upward: Reflecting an increase in reserves, deposits, or circulation.</w:t>
      </w:r>
    </w:p>
    <w:p w14:paraId="72FE1DDE" w14:textId="77777777" w:rsidR="0058584F" w:rsidRDefault="00000000" w:rsidP="005A0A9B">
      <w:pPr>
        <w:numPr>
          <w:ilvl w:val="0"/>
          <w:numId w:val="41"/>
        </w:numPr>
        <w:spacing w:before="0"/>
        <w:ind w:right="0"/>
        <w:jc w:val="both"/>
        <w:rPr>
          <w:rFonts w:ascii="Arial" w:eastAsia="Arial" w:hAnsi="Arial" w:cs="Arial"/>
          <w:color w:val="000000"/>
          <w:sz w:val="22"/>
          <w:szCs w:val="22"/>
        </w:rPr>
      </w:pPr>
      <w:r>
        <w:rPr>
          <w:rFonts w:ascii="Arial" w:eastAsia="Arial" w:hAnsi="Arial" w:cs="Arial"/>
          <w:color w:val="000000"/>
          <w:sz w:val="22"/>
          <w:szCs w:val="22"/>
        </w:rPr>
        <w:t>Downward: Suggesting contraction or policy-driven reductions</w:t>
      </w:r>
    </w:p>
    <w:p w14:paraId="19CCC7DC" w14:textId="77777777" w:rsidR="0058584F" w:rsidRDefault="00000000" w:rsidP="005A0A9B">
      <w:pPr>
        <w:numPr>
          <w:ilvl w:val="0"/>
          <w:numId w:val="41"/>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Stationarity: nonconstant signal around a constant mean</w:t>
      </w:r>
    </w:p>
    <w:p w14:paraId="601C0049"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Moving Averages: The application of rolling windows (e.g., 4-week or 12-week moving averages) serves several purposes:</w:t>
      </w:r>
    </w:p>
    <w:p w14:paraId="2D43E7A8" w14:textId="77777777" w:rsidR="0058584F" w:rsidRDefault="00000000" w:rsidP="005A0A9B">
      <w:pPr>
        <w:numPr>
          <w:ilvl w:val="0"/>
          <w:numId w:val="41"/>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Smooths short-run volatility</w:t>
      </w:r>
    </w:p>
    <w:p w14:paraId="211AEA88" w14:textId="77777777" w:rsidR="0058584F" w:rsidRDefault="00000000" w:rsidP="005A0A9B">
      <w:pPr>
        <w:numPr>
          <w:ilvl w:val="0"/>
          <w:numId w:val="41"/>
        </w:numPr>
        <w:spacing w:before="0"/>
        <w:ind w:right="0"/>
        <w:jc w:val="both"/>
        <w:rPr>
          <w:rFonts w:ascii="Arial" w:eastAsia="Arial" w:hAnsi="Arial" w:cs="Arial"/>
          <w:color w:val="000000"/>
          <w:sz w:val="22"/>
          <w:szCs w:val="22"/>
        </w:rPr>
      </w:pPr>
      <w:r>
        <w:rPr>
          <w:rFonts w:ascii="Arial" w:eastAsia="Arial" w:hAnsi="Arial" w:cs="Arial"/>
          <w:color w:val="000000"/>
          <w:sz w:val="22"/>
          <w:szCs w:val="22"/>
        </w:rPr>
        <w:t>Reveals underlying trends</w:t>
      </w:r>
    </w:p>
    <w:p w14:paraId="20A4165C" w14:textId="77777777" w:rsidR="0058584F" w:rsidRDefault="00000000" w:rsidP="005A0A9B">
      <w:pPr>
        <w:numPr>
          <w:ilvl w:val="0"/>
          <w:numId w:val="41"/>
        </w:numPr>
        <w:spacing w:before="0"/>
        <w:ind w:right="0"/>
        <w:jc w:val="both"/>
        <w:rPr>
          <w:rFonts w:ascii="Arial" w:eastAsia="Arial" w:hAnsi="Arial" w:cs="Arial"/>
          <w:color w:val="000000"/>
          <w:sz w:val="22"/>
          <w:szCs w:val="22"/>
        </w:rPr>
      </w:pPr>
      <w:r>
        <w:rPr>
          <w:rFonts w:ascii="Arial" w:eastAsia="Arial" w:hAnsi="Arial" w:cs="Arial"/>
          <w:color w:val="000000"/>
          <w:sz w:val="22"/>
          <w:szCs w:val="22"/>
        </w:rPr>
        <w:t>Used as a simple benchmark for forecasts</w:t>
      </w:r>
    </w:p>
    <w:p w14:paraId="51FA8EAE" w14:textId="77777777" w:rsidR="0058584F" w:rsidRDefault="00000000" w:rsidP="005A0A9B">
      <w:pPr>
        <w:numPr>
          <w:ilvl w:val="0"/>
          <w:numId w:val="41"/>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Helps in providing changes in the series.</w:t>
      </w:r>
    </w:p>
    <w:p w14:paraId="14407916"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14" w:name="_bxqas0y5q2r" w:colFirst="0" w:colLast="0"/>
      <w:bookmarkEnd w:id="14"/>
      <w:r>
        <w:rPr>
          <w:rFonts w:ascii="Arial" w:eastAsia="Arial" w:hAnsi="Arial" w:cs="Arial"/>
          <w:b/>
          <w:color w:val="000000"/>
          <w:sz w:val="26"/>
          <w:szCs w:val="26"/>
        </w:rPr>
        <w:t>4.2 Multivariate Time Series Relationships</w:t>
      </w:r>
    </w:p>
    <w:p w14:paraId="08720C99"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project investigates ties between paired variables, which is very important to grasp the connectedness of financial systems:</w:t>
      </w:r>
    </w:p>
    <w:p w14:paraId="1A5A07A0" w14:textId="77777777" w:rsidR="0058584F" w:rsidRDefault="00000000" w:rsidP="005A0A9B">
      <w:pPr>
        <w:spacing w:before="240" w:after="240"/>
        <w:ind w:right="0"/>
        <w:jc w:val="both"/>
        <w:rPr>
          <w:rFonts w:ascii="Arial" w:eastAsia="Arial" w:hAnsi="Arial" w:cs="Arial"/>
          <w:b/>
          <w:color w:val="000000"/>
          <w:sz w:val="22"/>
          <w:szCs w:val="22"/>
        </w:rPr>
      </w:pPr>
      <w:r>
        <w:rPr>
          <w:rFonts w:ascii="Arial" w:eastAsia="Arial" w:hAnsi="Arial" w:cs="Arial"/>
          <w:b/>
          <w:color w:val="000000"/>
          <w:sz w:val="22"/>
          <w:szCs w:val="22"/>
        </w:rPr>
        <w:t>Correlation Analysis:</w:t>
      </w:r>
    </w:p>
    <w:p w14:paraId="0AE347E4" w14:textId="77777777" w:rsidR="0058584F" w:rsidRDefault="00000000" w:rsidP="005A0A9B">
      <w:pPr>
        <w:numPr>
          <w:ilvl w:val="0"/>
          <w:numId w:val="35"/>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B1 vs E1: Central Government deposits in comparison to loans shows the liquidity management between the government and the central bank</w:t>
      </w:r>
    </w:p>
    <w:p w14:paraId="4C49A33C" w14:textId="77777777" w:rsidR="0058584F" w:rsidRDefault="00000000" w:rsidP="005A0A9B">
      <w:pPr>
        <w:numPr>
          <w:ilvl w:val="0"/>
          <w:numId w:val="35"/>
        </w:numPr>
        <w:spacing w:before="0"/>
        <w:ind w:right="0"/>
        <w:jc w:val="both"/>
        <w:rPr>
          <w:rFonts w:ascii="Arial" w:eastAsia="Arial" w:hAnsi="Arial" w:cs="Arial"/>
          <w:color w:val="000000"/>
          <w:sz w:val="22"/>
          <w:szCs w:val="22"/>
        </w:rPr>
      </w:pPr>
      <w:r>
        <w:rPr>
          <w:rFonts w:ascii="Arial" w:eastAsia="Arial" w:hAnsi="Arial" w:cs="Arial"/>
          <w:color w:val="000000"/>
          <w:sz w:val="22"/>
          <w:szCs w:val="22"/>
        </w:rPr>
        <w:t>B3 vs E2: State Government patterns depict fiscal dynamics at the sub-national level</w:t>
      </w:r>
    </w:p>
    <w:p w14:paraId="4008117C" w14:textId="77777777" w:rsidR="0058584F" w:rsidRDefault="00000000" w:rsidP="005A0A9B">
      <w:pPr>
        <w:numPr>
          <w:ilvl w:val="0"/>
          <w:numId w:val="35"/>
        </w:numPr>
        <w:spacing w:before="0"/>
        <w:ind w:right="0"/>
        <w:jc w:val="both"/>
        <w:rPr>
          <w:rFonts w:ascii="Arial" w:eastAsia="Arial" w:hAnsi="Arial" w:cs="Arial"/>
          <w:color w:val="000000"/>
          <w:sz w:val="22"/>
          <w:szCs w:val="22"/>
        </w:rPr>
      </w:pPr>
      <w:r>
        <w:rPr>
          <w:rFonts w:ascii="Arial" w:eastAsia="Arial" w:hAnsi="Arial" w:cs="Arial"/>
          <w:color w:val="000000"/>
          <w:sz w:val="22"/>
          <w:szCs w:val="22"/>
        </w:rPr>
        <w:t>B4 vs E4: Commercial bank correlations point to monetary transmission mechanisms</w:t>
      </w:r>
    </w:p>
    <w:p w14:paraId="10938FFA" w14:textId="77777777" w:rsidR="0058584F" w:rsidRDefault="00000000" w:rsidP="005A0A9B">
      <w:pPr>
        <w:numPr>
          <w:ilvl w:val="0"/>
          <w:numId w:val="35"/>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B5 vs E5: Cooperative sector trends signal rural and agricultural credit cycles</w:t>
      </w:r>
    </w:p>
    <w:p w14:paraId="080719B4"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These ties frequently demonstrate:</w:t>
      </w:r>
    </w:p>
    <w:p w14:paraId="1371C47E" w14:textId="77777777" w:rsidR="0058584F" w:rsidRDefault="00000000" w:rsidP="005A0A9B">
      <w:pPr>
        <w:numPr>
          <w:ilvl w:val="0"/>
          <w:numId w:val="35"/>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Positive Correlation: Corresponding movements of Variables (e.g., when deposits increase, available funds for loans also increase)</w:t>
      </w:r>
    </w:p>
    <w:p w14:paraId="0E8BCECC" w14:textId="77777777" w:rsidR="0058584F" w:rsidRDefault="00000000" w:rsidP="005A0A9B">
      <w:pPr>
        <w:numPr>
          <w:ilvl w:val="0"/>
          <w:numId w:val="35"/>
        </w:numPr>
        <w:spacing w:before="0"/>
        <w:ind w:right="0"/>
        <w:jc w:val="both"/>
        <w:rPr>
          <w:rFonts w:ascii="Arial" w:eastAsia="Arial" w:hAnsi="Arial" w:cs="Arial"/>
          <w:color w:val="000000"/>
          <w:sz w:val="22"/>
          <w:szCs w:val="22"/>
        </w:rPr>
      </w:pPr>
      <w:r>
        <w:rPr>
          <w:rFonts w:ascii="Arial" w:eastAsia="Arial" w:hAnsi="Arial" w:cs="Arial"/>
          <w:color w:val="000000"/>
          <w:sz w:val="22"/>
          <w:szCs w:val="22"/>
        </w:rPr>
        <w:t>Negative Correlation: Movement inversely (i.e., when loans are extended, deposits may decrease)</w:t>
      </w:r>
    </w:p>
    <w:p w14:paraId="2489245B" w14:textId="77777777" w:rsidR="0058584F" w:rsidRDefault="00000000" w:rsidP="005A0A9B">
      <w:pPr>
        <w:numPr>
          <w:ilvl w:val="0"/>
          <w:numId w:val="35"/>
        </w:numPr>
        <w:shd w:val="clear" w:color="auto" w:fill="FFFFFF"/>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Lagged Relationships: One time series influencing another with a delay</w:t>
      </w:r>
    </w:p>
    <w:p w14:paraId="3C446C09"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15" w:name="_tzjxgsi5qc3b" w:colFirst="0" w:colLast="0"/>
      <w:bookmarkEnd w:id="15"/>
      <w:r>
        <w:rPr>
          <w:rFonts w:ascii="Arial" w:eastAsia="Arial" w:hAnsi="Arial" w:cs="Arial"/>
          <w:b/>
          <w:color w:val="000000"/>
          <w:sz w:val="26"/>
          <w:szCs w:val="26"/>
        </w:rPr>
        <w:lastRenderedPageBreak/>
        <w:t>4.3 Comparative Time Series Analysis</w:t>
      </w:r>
    </w:p>
    <w:p w14:paraId="27F158DB"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Asset Composition Analysis (D1, D2, D3): Comparing Foreign Currency Assets, Gold, and Rupee Securities over time reveals the RBI's reserve diversification strategy. This multivariate comparison shows:</w:t>
      </w:r>
    </w:p>
    <w:p w14:paraId="70EA9D40" w14:textId="77777777" w:rsidR="0058584F" w:rsidRDefault="00000000" w:rsidP="005A0A9B">
      <w:pPr>
        <w:numPr>
          <w:ilvl w:val="0"/>
          <w:numId w:val="7"/>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Relative proportions changing over time</w:t>
      </w:r>
    </w:p>
    <w:p w14:paraId="739F9C54" w14:textId="77777777" w:rsidR="0058584F" w:rsidRDefault="00000000" w:rsidP="005A0A9B">
      <w:pPr>
        <w:numPr>
          <w:ilvl w:val="0"/>
          <w:numId w:val="7"/>
        </w:numPr>
        <w:spacing w:before="0"/>
        <w:ind w:right="0"/>
        <w:jc w:val="both"/>
        <w:rPr>
          <w:rFonts w:ascii="Arial" w:eastAsia="Arial" w:hAnsi="Arial" w:cs="Arial"/>
          <w:color w:val="000000"/>
          <w:sz w:val="22"/>
          <w:szCs w:val="22"/>
        </w:rPr>
      </w:pPr>
      <w:r>
        <w:rPr>
          <w:rFonts w:ascii="Arial" w:eastAsia="Arial" w:hAnsi="Arial" w:cs="Arial"/>
          <w:color w:val="000000"/>
          <w:sz w:val="22"/>
          <w:szCs w:val="22"/>
        </w:rPr>
        <w:t>Policy shifts in asset allocation</w:t>
      </w:r>
    </w:p>
    <w:p w14:paraId="4D3D3AED" w14:textId="77777777" w:rsidR="0058584F" w:rsidRDefault="00000000" w:rsidP="005A0A9B">
      <w:pPr>
        <w:numPr>
          <w:ilvl w:val="0"/>
          <w:numId w:val="7"/>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Response to external economic conditions</w:t>
      </w:r>
    </w:p>
    <w:p w14:paraId="410A6C0A"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Currency Circulation (A1 vs A2): Analyzing notes in circulation versus notes held by the banking department provides insights into:</w:t>
      </w:r>
    </w:p>
    <w:p w14:paraId="47DFA296" w14:textId="77777777" w:rsidR="0058584F" w:rsidRDefault="00000000" w:rsidP="005A0A9B">
      <w:pPr>
        <w:numPr>
          <w:ilvl w:val="0"/>
          <w:numId w:val="12"/>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Money supply dynamics</w:t>
      </w:r>
    </w:p>
    <w:p w14:paraId="696D1DFF" w14:textId="77777777" w:rsidR="0058584F" w:rsidRDefault="00000000" w:rsidP="005A0A9B">
      <w:pPr>
        <w:numPr>
          <w:ilvl w:val="0"/>
          <w:numId w:val="12"/>
        </w:numPr>
        <w:spacing w:before="0"/>
        <w:ind w:right="0"/>
        <w:jc w:val="both"/>
        <w:rPr>
          <w:rFonts w:ascii="Arial" w:eastAsia="Arial" w:hAnsi="Arial" w:cs="Arial"/>
          <w:color w:val="000000"/>
          <w:sz w:val="22"/>
          <w:szCs w:val="22"/>
        </w:rPr>
      </w:pPr>
      <w:r>
        <w:rPr>
          <w:rFonts w:ascii="Arial" w:eastAsia="Arial" w:hAnsi="Arial" w:cs="Arial"/>
          <w:color w:val="000000"/>
          <w:sz w:val="22"/>
          <w:szCs w:val="22"/>
        </w:rPr>
        <w:t>Seasonal patterns in cash demand</w:t>
      </w:r>
    </w:p>
    <w:p w14:paraId="1A24A0BF" w14:textId="77777777" w:rsidR="0058584F" w:rsidRDefault="00000000" w:rsidP="005A0A9B">
      <w:pPr>
        <w:numPr>
          <w:ilvl w:val="0"/>
          <w:numId w:val="12"/>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Impact of demonetization or digital payment adoption</w:t>
      </w:r>
    </w:p>
    <w:p w14:paraId="0A378273" w14:textId="77777777" w:rsidR="0058584F" w:rsidRDefault="00000000" w:rsidP="005A0A9B">
      <w:pPr>
        <w:jc w:val="center"/>
        <w:rPr>
          <w:rFonts w:ascii="Arial" w:eastAsia="Arial" w:hAnsi="Arial" w:cs="Arial"/>
          <w:color w:val="000000"/>
          <w:sz w:val="22"/>
          <w:szCs w:val="22"/>
        </w:rPr>
      </w:pPr>
      <w:r>
        <w:rPr>
          <w:rFonts w:ascii="Arial" w:eastAsia="Arial" w:hAnsi="Arial" w:cs="Arial"/>
          <w:noProof/>
          <w:color w:val="000000"/>
          <w:sz w:val="22"/>
          <w:szCs w:val="22"/>
        </w:rPr>
        <w:drawing>
          <wp:inline distT="114300" distB="114300" distL="114300" distR="114300" wp14:anchorId="19EBD2A5" wp14:editId="702B69AF">
            <wp:extent cx="4534214" cy="2338705"/>
            <wp:effectExtent l="0" t="0" r="0" b="4445"/>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541087" cy="2342250"/>
                    </a:xfrm>
                    <a:prstGeom prst="rect">
                      <a:avLst/>
                    </a:prstGeom>
                    <a:ln/>
                  </pic:spPr>
                </pic:pic>
              </a:graphicData>
            </a:graphic>
          </wp:inline>
        </w:drawing>
      </w:r>
    </w:p>
    <w:p w14:paraId="7F3BA309" w14:textId="77777777" w:rsidR="005A0A9B" w:rsidRDefault="005A0A9B" w:rsidP="005A0A9B">
      <w:pPr>
        <w:jc w:val="center"/>
        <w:rPr>
          <w:rFonts w:ascii="Arial" w:eastAsia="Arial" w:hAnsi="Arial" w:cs="Arial"/>
          <w:color w:val="000000"/>
          <w:sz w:val="22"/>
          <w:szCs w:val="22"/>
        </w:rPr>
      </w:pPr>
    </w:p>
    <w:p w14:paraId="18D2596F" w14:textId="77777777" w:rsidR="005A0A9B" w:rsidRDefault="005A0A9B" w:rsidP="005A0A9B">
      <w:pPr>
        <w:jc w:val="center"/>
        <w:rPr>
          <w:rFonts w:ascii="Arial" w:eastAsia="Arial" w:hAnsi="Arial" w:cs="Arial"/>
          <w:color w:val="000000"/>
          <w:sz w:val="22"/>
          <w:szCs w:val="22"/>
        </w:rPr>
      </w:pPr>
    </w:p>
    <w:p w14:paraId="008D5DCB" w14:textId="77777777" w:rsidR="005A0A9B" w:rsidRDefault="005A0A9B" w:rsidP="005A0A9B">
      <w:pPr>
        <w:jc w:val="center"/>
        <w:rPr>
          <w:rFonts w:ascii="Arial" w:eastAsia="Arial" w:hAnsi="Arial" w:cs="Arial"/>
          <w:color w:val="000000"/>
          <w:sz w:val="22"/>
          <w:szCs w:val="22"/>
        </w:rPr>
      </w:pPr>
    </w:p>
    <w:p w14:paraId="105F801E" w14:textId="77777777" w:rsidR="005A0A9B" w:rsidRDefault="005A0A9B" w:rsidP="005A0A9B">
      <w:pPr>
        <w:jc w:val="center"/>
        <w:rPr>
          <w:rFonts w:ascii="Arial" w:eastAsia="Arial" w:hAnsi="Arial" w:cs="Arial"/>
          <w:color w:val="000000"/>
          <w:sz w:val="22"/>
          <w:szCs w:val="22"/>
        </w:rPr>
      </w:pPr>
    </w:p>
    <w:p w14:paraId="58C66F9E" w14:textId="77777777" w:rsidR="005A0A9B" w:rsidRDefault="005A0A9B" w:rsidP="005A0A9B">
      <w:pPr>
        <w:jc w:val="center"/>
        <w:rPr>
          <w:rFonts w:ascii="Arial" w:eastAsia="Arial" w:hAnsi="Arial" w:cs="Arial"/>
          <w:color w:val="000000"/>
          <w:sz w:val="22"/>
          <w:szCs w:val="22"/>
        </w:rPr>
      </w:pPr>
    </w:p>
    <w:p w14:paraId="691C5CB5" w14:textId="77777777" w:rsidR="005A0A9B" w:rsidRDefault="005A0A9B" w:rsidP="005A0A9B">
      <w:pPr>
        <w:jc w:val="center"/>
        <w:rPr>
          <w:rFonts w:ascii="Arial" w:eastAsia="Arial" w:hAnsi="Arial" w:cs="Arial"/>
          <w:color w:val="000000"/>
          <w:sz w:val="22"/>
          <w:szCs w:val="22"/>
        </w:rPr>
      </w:pPr>
    </w:p>
    <w:p w14:paraId="071F183C" w14:textId="77777777" w:rsidR="005A0A9B" w:rsidRDefault="005A0A9B" w:rsidP="005A0A9B">
      <w:pPr>
        <w:jc w:val="center"/>
        <w:rPr>
          <w:rFonts w:ascii="Arial" w:eastAsia="Arial" w:hAnsi="Arial" w:cs="Arial"/>
          <w:color w:val="000000"/>
          <w:sz w:val="22"/>
          <w:szCs w:val="22"/>
        </w:rPr>
      </w:pPr>
    </w:p>
    <w:p w14:paraId="1CDF53CF" w14:textId="77777777" w:rsidR="005A0A9B" w:rsidRDefault="005A0A9B" w:rsidP="005A0A9B">
      <w:pPr>
        <w:jc w:val="center"/>
        <w:rPr>
          <w:rFonts w:ascii="Arial" w:eastAsia="Arial" w:hAnsi="Arial" w:cs="Arial"/>
          <w:color w:val="000000"/>
          <w:sz w:val="22"/>
          <w:szCs w:val="22"/>
        </w:rPr>
      </w:pPr>
    </w:p>
    <w:p w14:paraId="0E943F10"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16" w:name="_duh0hqtpqfe6" w:colFirst="0" w:colLast="0"/>
      <w:bookmarkEnd w:id="16"/>
      <w:r>
        <w:rPr>
          <w:rFonts w:ascii="Arial" w:eastAsia="Arial" w:hAnsi="Arial" w:cs="Arial"/>
          <w:sz w:val="34"/>
          <w:szCs w:val="34"/>
        </w:rPr>
        <w:lastRenderedPageBreak/>
        <w:t>5. Time Series Forecasting: ARIMA Methodology</w:t>
      </w:r>
    </w:p>
    <w:p w14:paraId="6843EEA6"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17" w:name="_e7xkzvi7e1kc" w:colFirst="0" w:colLast="0"/>
      <w:bookmarkEnd w:id="17"/>
      <w:r>
        <w:rPr>
          <w:rFonts w:ascii="Arial" w:eastAsia="Arial" w:hAnsi="Arial" w:cs="Arial"/>
          <w:b/>
          <w:color w:val="000000"/>
          <w:sz w:val="26"/>
          <w:szCs w:val="26"/>
        </w:rPr>
        <w:t>5.1 ARIMA Model Foundations</w:t>
      </w:r>
    </w:p>
    <w:p w14:paraId="11274C18"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project uses an ARIMA model, which is among the most common univariate time series forecasting methods. The orders of the main parameters in ARIMA are three: (p, d, q).</w:t>
      </w:r>
    </w:p>
    <w:p w14:paraId="2B9EFCE0" w14:textId="77777777" w:rsidR="0058584F" w:rsidRDefault="00000000" w:rsidP="005A0A9B">
      <w:pPr>
        <w:spacing w:before="240" w:after="240"/>
        <w:ind w:right="0"/>
        <w:jc w:val="both"/>
        <w:rPr>
          <w:rFonts w:ascii="Arial" w:eastAsia="Arial" w:hAnsi="Arial" w:cs="Arial"/>
          <w:color w:val="000000"/>
          <w:sz w:val="22"/>
          <w:szCs w:val="22"/>
        </w:rPr>
      </w:pPr>
      <w:proofErr w:type="spellStart"/>
      <w:r>
        <w:rPr>
          <w:rFonts w:ascii="Arial" w:eastAsia="Arial" w:hAnsi="Arial" w:cs="Arial"/>
          <w:color w:val="000000"/>
          <w:sz w:val="22"/>
          <w:szCs w:val="22"/>
        </w:rPr>
        <w:t>AutoRegressive</w:t>
      </w:r>
      <w:proofErr w:type="spellEnd"/>
      <w:r>
        <w:rPr>
          <w:rFonts w:ascii="Arial" w:eastAsia="Arial" w:hAnsi="Arial" w:cs="Arial"/>
          <w:color w:val="000000"/>
          <w:sz w:val="22"/>
          <w:szCs w:val="22"/>
        </w:rPr>
        <w:t xml:space="preserve"> (AR) Component - p: The AR component models the relationship between an observation and a predetermined number of lagged observations. An AR(p) model is defined as</w:t>
      </w:r>
    </w:p>
    <w:p w14:paraId="0D57F425" w14:textId="77777777" w:rsidR="0058584F" w:rsidRDefault="00000000" w:rsidP="005A0A9B">
      <w:pPr>
        <w:spacing w:before="240" w:after="240"/>
        <w:ind w:right="0"/>
        <w:jc w:val="both"/>
        <w:rPr>
          <w:rFonts w:ascii="Arial" w:eastAsia="Arial" w:hAnsi="Arial" w:cs="Arial"/>
          <w:color w:val="000000"/>
          <w:sz w:val="22"/>
          <w:szCs w:val="22"/>
        </w:rPr>
      </w:pPr>
      <w:proofErr w:type="spellStart"/>
      <w:r>
        <w:rPr>
          <w:rFonts w:ascii="Arial" w:eastAsia="Arial" w:hAnsi="Arial" w:cs="Arial"/>
          <w:color w:val="000000"/>
          <w:sz w:val="22"/>
          <w:szCs w:val="22"/>
        </w:rPr>
        <w:t>y_t</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φ₁y</w:t>
      </w:r>
      <w:proofErr w:type="spellEnd"/>
      <w:r>
        <w:rPr>
          <w:rFonts w:ascii="Arial" w:eastAsia="Arial" w:hAnsi="Arial" w:cs="Arial"/>
          <w:color w:val="000000"/>
          <w:sz w:val="22"/>
          <w:szCs w:val="22"/>
        </w:rPr>
        <w:t xml:space="preserve">_(t-1) + </w:t>
      </w:r>
      <w:proofErr w:type="spellStart"/>
      <w:r>
        <w:rPr>
          <w:rFonts w:ascii="Arial" w:eastAsia="Arial" w:hAnsi="Arial" w:cs="Arial"/>
          <w:color w:val="000000"/>
          <w:sz w:val="22"/>
          <w:szCs w:val="22"/>
        </w:rPr>
        <w:t>φ₂y</w:t>
      </w:r>
      <w:proofErr w:type="spellEnd"/>
      <w:r>
        <w:rPr>
          <w:rFonts w:ascii="Arial" w:eastAsia="Arial" w:hAnsi="Arial" w:cs="Arial"/>
          <w:color w:val="000000"/>
          <w:sz w:val="22"/>
          <w:szCs w:val="22"/>
        </w:rPr>
        <w:t xml:space="preserve">_(t-2) +. + </w:t>
      </w:r>
      <w:proofErr w:type="spellStart"/>
      <w:r>
        <w:rPr>
          <w:rFonts w:ascii="Arial" w:eastAsia="Arial" w:hAnsi="Arial" w:cs="Arial"/>
          <w:color w:val="000000"/>
          <w:sz w:val="22"/>
          <w:szCs w:val="22"/>
        </w:rPr>
        <w:t>φ_py</w:t>
      </w:r>
      <w:proofErr w:type="spellEnd"/>
      <w:r>
        <w:rPr>
          <w:rFonts w:ascii="Arial" w:eastAsia="Arial" w:hAnsi="Arial" w:cs="Arial"/>
          <w:color w:val="000000"/>
          <w:sz w:val="22"/>
          <w:szCs w:val="22"/>
        </w:rPr>
        <w:t xml:space="preserve">_(t-p) + </w:t>
      </w:r>
      <w:proofErr w:type="spellStart"/>
      <w:r>
        <w:rPr>
          <w:rFonts w:ascii="Arial" w:eastAsia="Arial" w:hAnsi="Arial" w:cs="Arial"/>
          <w:color w:val="000000"/>
          <w:sz w:val="22"/>
          <w:szCs w:val="22"/>
        </w:rPr>
        <w:t>ε_t</w:t>
      </w:r>
      <w:proofErr w:type="spellEnd"/>
    </w:p>
    <w:p w14:paraId="023DEFF5"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This reflects the fact that current values are in a sense determined by recent past values. In financial data, this would imply momentum and persistence in monetary aggregates.</w:t>
      </w:r>
    </w:p>
    <w:p w14:paraId="1D2B4C8B"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Integrated (I) Component - d: The integration parameter represents the number of differencing operations required to make the series stationary. Stationarity is important since it guarantees:</w:t>
      </w:r>
    </w:p>
    <w:p w14:paraId="21242F5E" w14:textId="77777777" w:rsidR="0058584F" w:rsidRDefault="00000000" w:rsidP="005A0A9B">
      <w:pPr>
        <w:numPr>
          <w:ilvl w:val="0"/>
          <w:numId w:val="26"/>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Constant mean over time</w:t>
      </w:r>
    </w:p>
    <w:p w14:paraId="0439DC7A" w14:textId="77777777" w:rsidR="0058584F" w:rsidRDefault="00000000" w:rsidP="005A0A9B">
      <w:pPr>
        <w:numPr>
          <w:ilvl w:val="0"/>
          <w:numId w:val="26"/>
        </w:numPr>
        <w:spacing w:before="0"/>
        <w:ind w:right="0"/>
        <w:jc w:val="both"/>
        <w:rPr>
          <w:rFonts w:ascii="Arial" w:eastAsia="Arial" w:hAnsi="Arial" w:cs="Arial"/>
          <w:color w:val="000000"/>
          <w:sz w:val="22"/>
          <w:szCs w:val="22"/>
        </w:rPr>
      </w:pPr>
      <w:r>
        <w:rPr>
          <w:rFonts w:ascii="Arial" w:eastAsia="Arial" w:hAnsi="Arial" w:cs="Arial"/>
          <w:color w:val="000000"/>
          <w:sz w:val="22"/>
          <w:szCs w:val="22"/>
        </w:rPr>
        <w:t>Constant variance</w:t>
      </w:r>
    </w:p>
    <w:p w14:paraId="3ACBF80E" w14:textId="77777777" w:rsidR="0058584F" w:rsidRDefault="00000000" w:rsidP="005A0A9B">
      <w:pPr>
        <w:numPr>
          <w:ilvl w:val="0"/>
          <w:numId w:val="26"/>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Constant autocovariance structure</w:t>
      </w:r>
    </w:p>
    <w:p w14:paraId="3DF812B8"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Most financial time series are non-stationarity because of the presence of trends or structural changes. Differencing transforms the data:</w:t>
      </w:r>
    </w:p>
    <w:p w14:paraId="70F2EA51" w14:textId="77777777" w:rsidR="0058584F" w:rsidRDefault="00000000" w:rsidP="005A0A9B">
      <w:pPr>
        <w:numPr>
          <w:ilvl w:val="0"/>
          <w:numId w:val="37"/>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 xml:space="preserve">First difference: </w:t>
      </w:r>
      <w:proofErr w:type="spellStart"/>
      <w:r>
        <w:rPr>
          <w:rFonts w:ascii="Arial" w:eastAsia="Arial" w:hAnsi="Arial" w:cs="Arial"/>
          <w:color w:val="000000"/>
          <w:sz w:val="22"/>
          <w:szCs w:val="22"/>
        </w:rPr>
        <w:t>y't</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y_t</w:t>
      </w:r>
      <w:proofErr w:type="spellEnd"/>
      <w:r>
        <w:rPr>
          <w:rFonts w:ascii="Arial" w:eastAsia="Arial" w:hAnsi="Arial" w:cs="Arial"/>
          <w:color w:val="000000"/>
          <w:sz w:val="22"/>
          <w:szCs w:val="22"/>
        </w:rPr>
        <w:t xml:space="preserve"> - y(t-1)</w:t>
      </w:r>
    </w:p>
    <w:p w14:paraId="32141E96" w14:textId="77777777" w:rsidR="0058584F" w:rsidRDefault="00000000" w:rsidP="005A0A9B">
      <w:pPr>
        <w:numPr>
          <w:ilvl w:val="0"/>
          <w:numId w:val="37"/>
        </w:numPr>
        <w:spacing w:before="0"/>
        <w:ind w:right="0"/>
        <w:jc w:val="both"/>
        <w:rPr>
          <w:rFonts w:ascii="Arial" w:eastAsia="Arial" w:hAnsi="Arial" w:cs="Arial"/>
          <w:color w:val="000000"/>
          <w:sz w:val="22"/>
          <w:szCs w:val="22"/>
        </w:rPr>
      </w:pPr>
      <w:r>
        <w:rPr>
          <w:rFonts w:ascii="Arial" w:eastAsia="Arial" w:hAnsi="Arial" w:cs="Arial"/>
          <w:color w:val="000000"/>
          <w:sz w:val="22"/>
          <w:szCs w:val="22"/>
        </w:rPr>
        <w:t xml:space="preserve">Second difference: </w:t>
      </w:r>
      <w:proofErr w:type="spellStart"/>
      <w:r>
        <w:rPr>
          <w:rFonts w:ascii="Arial" w:eastAsia="Arial" w:hAnsi="Arial" w:cs="Arial"/>
          <w:color w:val="000000"/>
          <w:sz w:val="22"/>
          <w:szCs w:val="22"/>
        </w:rPr>
        <w:t>y''_t</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y't</w:t>
      </w:r>
      <w:proofErr w:type="spellEnd"/>
      <w:r>
        <w:rPr>
          <w:rFonts w:ascii="Arial" w:eastAsia="Arial" w:hAnsi="Arial" w:cs="Arial"/>
          <w:color w:val="000000"/>
          <w:sz w:val="22"/>
          <w:szCs w:val="22"/>
        </w:rPr>
        <w:t xml:space="preserve"> - y'(t-1)</w:t>
      </w:r>
    </w:p>
    <w:p w14:paraId="48E62F64" w14:textId="77777777" w:rsidR="0058584F" w:rsidRDefault="00000000" w:rsidP="005A0A9B">
      <w:pPr>
        <w:numPr>
          <w:ilvl w:val="0"/>
          <w:numId w:val="37"/>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For the RBI balance sheet data, differencing once (d=1) usually is enough to make it stationary.</w:t>
      </w:r>
    </w:p>
    <w:p w14:paraId="41B4F36F"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Moving Average (MA) Component - q: The MA component models the dependency between an observation and residual errors from previous predictions:</w:t>
      </w:r>
    </w:p>
    <w:p w14:paraId="55EBB693" w14:textId="77777777" w:rsidR="0058584F" w:rsidRDefault="00000000" w:rsidP="005A0A9B">
      <w:pPr>
        <w:spacing w:before="240" w:after="240"/>
        <w:ind w:right="0"/>
        <w:jc w:val="both"/>
        <w:rPr>
          <w:rFonts w:ascii="Arial" w:eastAsia="Arial" w:hAnsi="Arial" w:cs="Arial"/>
          <w:color w:val="000000"/>
          <w:sz w:val="22"/>
          <w:szCs w:val="22"/>
        </w:rPr>
      </w:pPr>
      <w:proofErr w:type="spellStart"/>
      <w:r>
        <w:rPr>
          <w:rFonts w:ascii="Arial" w:eastAsia="Arial" w:hAnsi="Arial" w:cs="Arial"/>
          <w:color w:val="000000"/>
          <w:sz w:val="22"/>
          <w:szCs w:val="22"/>
        </w:rPr>
        <w:t>y_t</w:t>
      </w:r>
      <w:proofErr w:type="spellEnd"/>
      <w:r>
        <w:rPr>
          <w:rFonts w:ascii="Arial" w:eastAsia="Arial" w:hAnsi="Arial" w:cs="Arial"/>
          <w:color w:val="000000"/>
          <w:sz w:val="22"/>
          <w:szCs w:val="22"/>
        </w:rPr>
        <w:t xml:space="preserve"> = μ + </w:t>
      </w:r>
      <w:proofErr w:type="spellStart"/>
      <w:r>
        <w:rPr>
          <w:rFonts w:ascii="Arial" w:eastAsia="Arial" w:hAnsi="Arial" w:cs="Arial"/>
          <w:color w:val="000000"/>
          <w:sz w:val="22"/>
          <w:szCs w:val="22"/>
        </w:rPr>
        <w:t>ε_t</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θ₁ε</w:t>
      </w:r>
      <w:proofErr w:type="spellEnd"/>
      <w:r>
        <w:rPr>
          <w:rFonts w:ascii="Arial" w:eastAsia="Arial" w:hAnsi="Arial" w:cs="Arial"/>
          <w:color w:val="000000"/>
          <w:sz w:val="22"/>
          <w:szCs w:val="22"/>
        </w:rPr>
        <w:t xml:space="preserve">_(t-1) + </w:t>
      </w:r>
      <w:proofErr w:type="spellStart"/>
      <w:r>
        <w:rPr>
          <w:rFonts w:ascii="Arial" w:eastAsia="Arial" w:hAnsi="Arial" w:cs="Arial"/>
          <w:color w:val="000000"/>
          <w:sz w:val="22"/>
          <w:szCs w:val="22"/>
        </w:rPr>
        <w:t>θ₂ε</w:t>
      </w:r>
      <w:proofErr w:type="spellEnd"/>
      <w:r>
        <w:rPr>
          <w:rFonts w:ascii="Arial" w:eastAsia="Arial" w:hAnsi="Arial" w:cs="Arial"/>
          <w:color w:val="000000"/>
          <w:sz w:val="22"/>
          <w:szCs w:val="22"/>
        </w:rPr>
        <w:t xml:space="preserve">_(t-2) +. + </w:t>
      </w:r>
      <w:proofErr w:type="spellStart"/>
      <w:r>
        <w:rPr>
          <w:rFonts w:ascii="Arial" w:eastAsia="Arial" w:hAnsi="Arial" w:cs="Arial"/>
          <w:color w:val="000000"/>
          <w:sz w:val="22"/>
          <w:szCs w:val="22"/>
        </w:rPr>
        <w:t>θ_qε</w:t>
      </w:r>
      <w:proofErr w:type="spellEnd"/>
      <w:r>
        <w:rPr>
          <w:rFonts w:ascii="Arial" w:eastAsia="Arial" w:hAnsi="Arial" w:cs="Arial"/>
          <w:color w:val="000000"/>
          <w:sz w:val="22"/>
          <w:szCs w:val="22"/>
        </w:rPr>
        <w:t>_(t-q)</w:t>
      </w:r>
    </w:p>
    <w:p w14:paraId="4EC809A8"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moving average captures short-term irregularities and shock effects which persist over several periods.</w:t>
      </w:r>
    </w:p>
    <w:p w14:paraId="74E8889D" w14:textId="77777777" w:rsidR="005A0A9B" w:rsidRDefault="005A0A9B" w:rsidP="005A0A9B">
      <w:pPr>
        <w:spacing w:before="240" w:after="240"/>
        <w:ind w:right="0"/>
        <w:jc w:val="both"/>
        <w:rPr>
          <w:rFonts w:ascii="Arial" w:eastAsia="Arial" w:hAnsi="Arial" w:cs="Arial"/>
          <w:color w:val="000000"/>
          <w:sz w:val="22"/>
          <w:szCs w:val="22"/>
        </w:rPr>
      </w:pPr>
    </w:p>
    <w:p w14:paraId="50C79B45" w14:textId="77777777" w:rsidR="005A0A9B" w:rsidRDefault="005A0A9B" w:rsidP="005A0A9B">
      <w:pPr>
        <w:spacing w:before="240" w:after="240"/>
        <w:ind w:right="0"/>
        <w:jc w:val="both"/>
        <w:rPr>
          <w:rFonts w:ascii="Arial" w:eastAsia="Arial" w:hAnsi="Arial" w:cs="Arial"/>
          <w:color w:val="000000"/>
          <w:sz w:val="22"/>
          <w:szCs w:val="22"/>
        </w:rPr>
      </w:pPr>
    </w:p>
    <w:p w14:paraId="6B274D37"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18" w:name="_wr1o2qrm2qqu" w:colFirst="0" w:colLast="0"/>
      <w:bookmarkEnd w:id="18"/>
      <w:r>
        <w:rPr>
          <w:rFonts w:ascii="Arial" w:eastAsia="Arial" w:hAnsi="Arial" w:cs="Arial"/>
          <w:b/>
          <w:color w:val="000000"/>
          <w:sz w:val="26"/>
          <w:szCs w:val="26"/>
        </w:rPr>
        <w:lastRenderedPageBreak/>
        <w:t>5.2 Model Identification and Selection</w:t>
      </w:r>
    </w:p>
    <w:p w14:paraId="5DCA395B"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project uses a systematic approach to identify optimal ARIMA parameters:</w:t>
      </w:r>
    </w:p>
    <w:p w14:paraId="320733FF"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Stationarity Testing:</w:t>
      </w:r>
    </w:p>
    <w:p w14:paraId="5962929B" w14:textId="77777777" w:rsidR="0058584F" w:rsidRDefault="00000000" w:rsidP="005A0A9B">
      <w:pPr>
        <w:numPr>
          <w:ilvl w:val="0"/>
          <w:numId w:val="6"/>
        </w:num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Augmented Dickey-Fuller (ADF) Test: Tests the null hypothesis that a unit root is present (non-stationary)</w:t>
      </w:r>
    </w:p>
    <w:p w14:paraId="359F1D66" w14:textId="77777777" w:rsidR="0058584F" w:rsidRDefault="0058584F" w:rsidP="005A0A9B">
      <w:pPr>
        <w:jc w:val="both"/>
      </w:pPr>
    </w:p>
    <w:p w14:paraId="3437AAC5" w14:textId="77777777" w:rsidR="0058584F" w:rsidRDefault="00000000" w:rsidP="005A0A9B">
      <w:pPr>
        <w:jc w:val="center"/>
      </w:pPr>
      <w:r>
        <w:rPr>
          <w:noProof/>
        </w:rPr>
        <w:drawing>
          <wp:inline distT="114300" distB="114300" distL="114300" distR="114300" wp14:anchorId="2CAA20C8" wp14:editId="2AE0FA2B">
            <wp:extent cx="3181350" cy="26289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181884" cy="2629341"/>
                    </a:xfrm>
                    <a:prstGeom prst="rect">
                      <a:avLst/>
                    </a:prstGeom>
                    <a:ln/>
                  </pic:spPr>
                </pic:pic>
              </a:graphicData>
            </a:graphic>
          </wp:inline>
        </w:drawing>
      </w:r>
    </w:p>
    <w:p w14:paraId="569F23CD" w14:textId="77777777" w:rsidR="0058584F" w:rsidRDefault="00000000" w:rsidP="005A0A9B">
      <w:pPr>
        <w:numPr>
          <w:ilvl w:val="0"/>
          <w:numId w:val="6"/>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KPSS Test: Tests the null hypothesis that the series is stationary</w:t>
      </w:r>
    </w:p>
    <w:p w14:paraId="322D6051" w14:textId="77777777" w:rsidR="0058584F" w:rsidRDefault="00000000" w:rsidP="005A0A9B">
      <w:pPr>
        <w:numPr>
          <w:ilvl w:val="0"/>
          <w:numId w:val="6"/>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Visual Inspection: Plotting the series and checking for constant mean and variance</w:t>
      </w:r>
    </w:p>
    <w:p w14:paraId="11D4CC09"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ACF and PACF Analysis:</w:t>
      </w:r>
    </w:p>
    <w:p w14:paraId="2BA4291F" w14:textId="77777777" w:rsidR="0058584F" w:rsidRDefault="00000000" w:rsidP="005A0A9B">
      <w:pPr>
        <w:spacing w:before="240" w:after="240"/>
        <w:ind w:right="0"/>
        <w:jc w:val="center"/>
        <w:rPr>
          <w:rFonts w:ascii="Arial" w:eastAsia="Arial" w:hAnsi="Arial" w:cs="Arial"/>
          <w:color w:val="000000"/>
          <w:sz w:val="22"/>
          <w:szCs w:val="22"/>
        </w:rPr>
      </w:pPr>
      <w:r>
        <w:rPr>
          <w:rFonts w:ascii="Arial" w:eastAsia="Arial" w:hAnsi="Arial" w:cs="Arial"/>
          <w:noProof/>
          <w:color w:val="000000"/>
          <w:sz w:val="22"/>
          <w:szCs w:val="22"/>
        </w:rPr>
        <w:drawing>
          <wp:inline distT="114300" distB="114300" distL="114300" distR="114300" wp14:anchorId="5B393B6B" wp14:editId="32917D2D">
            <wp:extent cx="5086350" cy="2171065"/>
            <wp:effectExtent l="0" t="0" r="0" b="635"/>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093718" cy="2174210"/>
                    </a:xfrm>
                    <a:prstGeom prst="rect">
                      <a:avLst/>
                    </a:prstGeom>
                    <a:ln/>
                  </pic:spPr>
                </pic:pic>
              </a:graphicData>
            </a:graphic>
          </wp:inline>
        </w:drawing>
      </w:r>
    </w:p>
    <w:p w14:paraId="53CA5869" w14:textId="77777777" w:rsidR="0058584F" w:rsidRDefault="00000000" w:rsidP="005A0A9B">
      <w:pPr>
        <w:numPr>
          <w:ilvl w:val="0"/>
          <w:numId w:val="39"/>
        </w:numPr>
        <w:spacing w:before="240"/>
        <w:ind w:right="0"/>
        <w:jc w:val="both"/>
        <w:rPr>
          <w:rFonts w:ascii="Arial" w:eastAsia="Arial" w:hAnsi="Arial" w:cs="Arial"/>
          <w:color w:val="000000"/>
          <w:sz w:val="22"/>
          <w:szCs w:val="22"/>
        </w:rPr>
      </w:pPr>
      <w:r>
        <w:rPr>
          <w:rFonts w:ascii="Arial" w:eastAsia="Arial" w:hAnsi="Arial" w:cs="Arial"/>
          <w:color w:val="000000"/>
          <w:sz w:val="22"/>
          <w:szCs w:val="22"/>
        </w:rPr>
        <w:lastRenderedPageBreak/>
        <w:t>Autocorrelation Function (ACF): Measures correlation between observations at different lags, helping identify the MA order (q)</w:t>
      </w:r>
    </w:p>
    <w:p w14:paraId="14AE9F4C" w14:textId="77777777" w:rsidR="0058584F" w:rsidRDefault="00000000" w:rsidP="005A0A9B">
      <w:pPr>
        <w:numPr>
          <w:ilvl w:val="0"/>
          <w:numId w:val="39"/>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Partial Autocorrelation Function (PACF): Measures correlation between observations while controlling for intermediate lags, helping identify the AR order (p)</w:t>
      </w:r>
    </w:p>
    <w:p w14:paraId="0A21D059" w14:textId="77777777" w:rsidR="0058584F" w:rsidRDefault="00000000" w:rsidP="005A0A9B">
      <w:pPr>
        <w:spacing w:before="240" w:after="240"/>
        <w:ind w:right="0"/>
        <w:jc w:val="center"/>
        <w:rPr>
          <w:rFonts w:ascii="Arial" w:eastAsia="Arial" w:hAnsi="Arial" w:cs="Arial"/>
          <w:color w:val="000000"/>
          <w:sz w:val="22"/>
          <w:szCs w:val="22"/>
        </w:rPr>
      </w:pPr>
      <w:r>
        <w:rPr>
          <w:rFonts w:ascii="Arial" w:eastAsia="Arial" w:hAnsi="Arial" w:cs="Arial"/>
          <w:noProof/>
          <w:color w:val="000000"/>
          <w:sz w:val="22"/>
          <w:szCs w:val="22"/>
        </w:rPr>
        <w:drawing>
          <wp:inline distT="114300" distB="114300" distL="114300" distR="114300" wp14:anchorId="24B8F8E5" wp14:editId="3CC6F3ED">
            <wp:extent cx="5067300" cy="1651000"/>
            <wp:effectExtent l="0" t="0" r="0" b="635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067628" cy="1651107"/>
                    </a:xfrm>
                    <a:prstGeom prst="rect">
                      <a:avLst/>
                    </a:prstGeom>
                    <a:ln/>
                  </pic:spPr>
                </pic:pic>
              </a:graphicData>
            </a:graphic>
          </wp:inline>
        </w:drawing>
      </w:r>
    </w:p>
    <w:p w14:paraId="4E42A07A"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 xml:space="preserve">Automated Selection: The project leverages </w:t>
      </w:r>
      <w:proofErr w:type="spellStart"/>
      <w:r>
        <w:rPr>
          <w:rFonts w:ascii="Roboto Mono" w:eastAsia="Roboto Mono" w:hAnsi="Roboto Mono" w:cs="Roboto Mono"/>
          <w:color w:val="188038"/>
          <w:sz w:val="22"/>
          <w:szCs w:val="22"/>
        </w:rPr>
        <w:t>pmdarima</w:t>
      </w:r>
      <w:proofErr w:type="spellEnd"/>
      <w:r>
        <w:rPr>
          <w:rFonts w:ascii="Arial" w:eastAsia="Arial" w:hAnsi="Arial" w:cs="Arial"/>
          <w:color w:val="000000"/>
          <w:sz w:val="22"/>
          <w:szCs w:val="22"/>
        </w:rPr>
        <w:t xml:space="preserve"> (Python's implementation of R's </w:t>
      </w:r>
      <w:proofErr w:type="spellStart"/>
      <w:r>
        <w:rPr>
          <w:rFonts w:ascii="Arial" w:eastAsia="Arial" w:hAnsi="Arial" w:cs="Arial"/>
          <w:color w:val="000000"/>
          <w:sz w:val="22"/>
          <w:szCs w:val="22"/>
        </w:rPr>
        <w:t>auto.arima</w:t>
      </w:r>
      <w:proofErr w:type="spellEnd"/>
      <w:r>
        <w:rPr>
          <w:rFonts w:ascii="Arial" w:eastAsia="Arial" w:hAnsi="Arial" w:cs="Arial"/>
          <w:color w:val="000000"/>
          <w:sz w:val="22"/>
          <w:szCs w:val="22"/>
        </w:rPr>
        <w:t>), which:</w:t>
      </w:r>
    </w:p>
    <w:p w14:paraId="6D13405C" w14:textId="77777777" w:rsidR="0058584F" w:rsidRDefault="00000000" w:rsidP="005A0A9B">
      <w:pPr>
        <w:numPr>
          <w:ilvl w:val="0"/>
          <w:numId w:val="18"/>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Tests multiple combinations of (p, d, q)</w:t>
      </w:r>
    </w:p>
    <w:p w14:paraId="1698F3AC" w14:textId="77777777" w:rsidR="0058584F" w:rsidRDefault="00000000" w:rsidP="005A0A9B">
      <w:pPr>
        <w:numPr>
          <w:ilvl w:val="0"/>
          <w:numId w:val="18"/>
        </w:numPr>
        <w:spacing w:before="0"/>
        <w:ind w:right="0"/>
        <w:jc w:val="both"/>
        <w:rPr>
          <w:rFonts w:ascii="Arial" w:eastAsia="Arial" w:hAnsi="Arial" w:cs="Arial"/>
          <w:color w:val="000000"/>
          <w:sz w:val="22"/>
          <w:szCs w:val="22"/>
        </w:rPr>
      </w:pPr>
      <w:r>
        <w:rPr>
          <w:rFonts w:ascii="Arial" w:eastAsia="Arial" w:hAnsi="Arial" w:cs="Arial"/>
          <w:color w:val="000000"/>
          <w:sz w:val="22"/>
          <w:szCs w:val="22"/>
        </w:rPr>
        <w:t>Uses information criteria (AIC, BIC) for model comparison</w:t>
      </w:r>
    </w:p>
    <w:p w14:paraId="04C8D6D8" w14:textId="77777777" w:rsidR="0058584F" w:rsidRDefault="00000000" w:rsidP="005A0A9B">
      <w:pPr>
        <w:numPr>
          <w:ilvl w:val="0"/>
          <w:numId w:val="18"/>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Selects the model with the best balance between fit and complexity</w:t>
      </w:r>
    </w:p>
    <w:p w14:paraId="27E6C947"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Akaike Information Criterion (AIC): AIC = 2k - 2ln(L)</w:t>
      </w:r>
    </w:p>
    <w:p w14:paraId="5BC47418"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Where k is the number of parameters and L is the likelihood. Lower AIC indicates better model performance with appropriate complexity penalty.</w:t>
      </w:r>
    </w:p>
    <w:p w14:paraId="1AA6AB9D"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19" w:name="_nv3jl1va5l3c" w:colFirst="0" w:colLast="0"/>
      <w:bookmarkEnd w:id="19"/>
      <w:r>
        <w:rPr>
          <w:rFonts w:ascii="Arial" w:eastAsia="Arial" w:hAnsi="Arial" w:cs="Arial"/>
          <w:b/>
          <w:color w:val="000000"/>
          <w:sz w:val="26"/>
          <w:szCs w:val="26"/>
        </w:rPr>
        <w:t>5.3 Model Estimation and Fitting</w:t>
      </w:r>
    </w:p>
    <w:p w14:paraId="07127949"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 xml:space="preserve">The ARIMA model is fitted to the historical data using the library </w:t>
      </w:r>
      <w:proofErr w:type="spellStart"/>
      <w:r>
        <w:rPr>
          <w:rFonts w:ascii="Arial" w:eastAsia="Arial" w:hAnsi="Arial" w:cs="Arial"/>
          <w:color w:val="000000"/>
          <w:sz w:val="22"/>
          <w:szCs w:val="22"/>
        </w:rPr>
        <w:t>statsmodels</w:t>
      </w:r>
      <w:proofErr w:type="spellEnd"/>
      <w:r>
        <w:rPr>
          <w:rFonts w:ascii="Arial" w:eastAsia="Arial" w:hAnsi="Arial" w:cs="Arial"/>
          <w:color w:val="000000"/>
          <w:sz w:val="22"/>
          <w:szCs w:val="22"/>
        </w:rPr>
        <w:t>. The estimation involves:</w:t>
      </w:r>
    </w:p>
    <w:p w14:paraId="6AC3916D"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Maximum Likelihood Estimation: The determination of parameter values that maximize the probability of the given data being observed.</w:t>
      </w:r>
    </w:p>
    <w:p w14:paraId="6BAEED5E"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Residual Analysis: Residuals (errors) should be:</w:t>
      </w:r>
    </w:p>
    <w:p w14:paraId="30D52922" w14:textId="77777777" w:rsidR="0058584F" w:rsidRDefault="00000000" w:rsidP="005A0A9B">
      <w:pPr>
        <w:numPr>
          <w:ilvl w:val="0"/>
          <w:numId w:val="13"/>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Normally distributed</w:t>
      </w:r>
    </w:p>
    <w:p w14:paraId="7C97CC19" w14:textId="77777777" w:rsidR="0058584F" w:rsidRDefault="00000000" w:rsidP="005A0A9B">
      <w:pPr>
        <w:numPr>
          <w:ilvl w:val="0"/>
          <w:numId w:val="13"/>
        </w:numPr>
        <w:spacing w:before="0"/>
        <w:ind w:right="0"/>
        <w:jc w:val="both"/>
        <w:rPr>
          <w:rFonts w:ascii="Arial" w:eastAsia="Arial" w:hAnsi="Arial" w:cs="Arial"/>
          <w:color w:val="000000"/>
          <w:sz w:val="22"/>
          <w:szCs w:val="22"/>
        </w:rPr>
      </w:pPr>
      <w:r>
        <w:rPr>
          <w:rFonts w:ascii="Arial" w:eastAsia="Arial" w:hAnsi="Arial" w:cs="Arial"/>
          <w:color w:val="000000"/>
          <w:sz w:val="22"/>
          <w:szCs w:val="22"/>
        </w:rPr>
        <w:t>Show no autocorrelation (white noise)</w:t>
      </w:r>
    </w:p>
    <w:p w14:paraId="667DD79C" w14:textId="77777777" w:rsidR="0058584F" w:rsidRDefault="00000000" w:rsidP="005A0A9B">
      <w:pPr>
        <w:numPr>
          <w:ilvl w:val="0"/>
          <w:numId w:val="13"/>
        </w:numPr>
        <w:spacing w:before="0"/>
        <w:ind w:right="0"/>
        <w:jc w:val="both"/>
        <w:rPr>
          <w:rFonts w:ascii="Arial" w:eastAsia="Arial" w:hAnsi="Arial" w:cs="Arial"/>
          <w:color w:val="000000"/>
          <w:sz w:val="22"/>
          <w:szCs w:val="22"/>
        </w:rPr>
      </w:pPr>
      <w:r>
        <w:rPr>
          <w:rFonts w:ascii="Arial" w:eastAsia="Arial" w:hAnsi="Arial" w:cs="Arial"/>
          <w:color w:val="000000"/>
          <w:sz w:val="22"/>
          <w:szCs w:val="22"/>
        </w:rPr>
        <w:t>Have constant variance (homoscedastic)</w:t>
      </w:r>
    </w:p>
    <w:p w14:paraId="04C577AF" w14:textId="77777777" w:rsidR="0058584F" w:rsidRDefault="00000000" w:rsidP="005A0A9B">
      <w:pPr>
        <w:numPr>
          <w:ilvl w:val="0"/>
          <w:numId w:val="13"/>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Poor residual behavior is indicative of model misspecification, suggesting alternative parameterization or model structure.</w:t>
      </w:r>
    </w:p>
    <w:p w14:paraId="268D194A"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20" w:name="_xldkjnh5qtr5" w:colFirst="0" w:colLast="0"/>
      <w:bookmarkEnd w:id="20"/>
      <w:r>
        <w:rPr>
          <w:rFonts w:ascii="Arial" w:eastAsia="Arial" w:hAnsi="Arial" w:cs="Arial"/>
          <w:b/>
          <w:color w:val="000000"/>
          <w:sz w:val="26"/>
          <w:szCs w:val="26"/>
        </w:rPr>
        <w:lastRenderedPageBreak/>
        <w:t>5.4 Forecasting Process</w:t>
      </w:r>
    </w:p>
    <w:p w14:paraId="0E1005E0"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project generates 12-step-ahead forecasts (12 weeks into the future). The forecasting process involves:</w:t>
      </w:r>
    </w:p>
    <w:p w14:paraId="17BE1B9F"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Point Forecasts: Best estimates of future values based on the fitted model</w:t>
      </w:r>
    </w:p>
    <w:p w14:paraId="733673E8"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 xml:space="preserve">Confidence Intervals: </w:t>
      </w:r>
      <w:proofErr w:type="gramStart"/>
      <w:r>
        <w:rPr>
          <w:rFonts w:ascii="Arial" w:eastAsia="Arial" w:hAnsi="Arial" w:cs="Arial"/>
          <w:color w:val="000000"/>
          <w:sz w:val="22"/>
          <w:szCs w:val="22"/>
        </w:rPr>
        <w:t>Typically</w:t>
      </w:r>
      <w:proofErr w:type="gramEnd"/>
      <w:r>
        <w:rPr>
          <w:rFonts w:ascii="Arial" w:eastAsia="Arial" w:hAnsi="Arial" w:cs="Arial"/>
          <w:color w:val="000000"/>
          <w:sz w:val="22"/>
          <w:szCs w:val="22"/>
        </w:rPr>
        <w:t xml:space="preserve"> 95% intervals that represent the uncertainty around predictions. These intervals widen as the forecast horizon increases, reflecting:</w:t>
      </w:r>
    </w:p>
    <w:p w14:paraId="0B09809F" w14:textId="77777777" w:rsidR="0058584F" w:rsidRDefault="00000000" w:rsidP="005A0A9B">
      <w:pPr>
        <w:numPr>
          <w:ilvl w:val="0"/>
          <w:numId w:val="38"/>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Accumulated prediction errors</w:t>
      </w:r>
    </w:p>
    <w:p w14:paraId="069818A0" w14:textId="77777777" w:rsidR="0058584F" w:rsidRDefault="00000000" w:rsidP="005A0A9B">
      <w:pPr>
        <w:numPr>
          <w:ilvl w:val="0"/>
          <w:numId w:val="38"/>
        </w:numPr>
        <w:spacing w:before="0"/>
        <w:ind w:right="0"/>
        <w:jc w:val="both"/>
        <w:rPr>
          <w:rFonts w:ascii="Arial" w:eastAsia="Arial" w:hAnsi="Arial" w:cs="Arial"/>
          <w:color w:val="000000"/>
          <w:sz w:val="22"/>
          <w:szCs w:val="22"/>
        </w:rPr>
      </w:pPr>
      <w:r>
        <w:rPr>
          <w:rFonts w:ascii="Arial" w:eastAsia="Arial" w:hAnsi="Arial" w:cs="Arial"/>
          <w:color w:val="000000"/>
          <w:sz w:val="22"/>
          <w:szCs w:val="22"/>
        </w:rPr>
        <w:t>Uncertainty propagation</w:t>
      </w:r>
    </w:p>
    <w:p w14:paraId="13F562D5" w14:textId="77777777" w:rsidR="0058584F" w:rsidRDefault="00000000" w:rsidP="005A0A9B">
      <w:pPr>
        <w:numPr>
          <w:ilvl w:val="0"/>
          <w:numId w:val="38"/>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Model limitations</w:t>
      </w:r>
    </w:p>
    <w:p w14:paraId="47DD3B67"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Recursive vs Direct Forecasting: ARIMA uses recursive (or iterative) forecasting, where:</w:t>
      </w:r>
    </w:p>
    <w:p w14:paraId="0D3CB6D6" w14:textId="77777777" w:rsidR="0058584F" w:rsidRDefault="00000000" w:rsidP="005A0A9B">
      <w:pPr>
        <w:numPr>
          <w:ilvl w:val="0"/>
          <w:numId w:val="19"/>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Forecast for t+1 uses actual data up to t</w:t>
      </w:r>
    </w:p>
    <w:p w14:paraId="6D3EF01A" w14:textId="77777777" w:rsidR="0058584F" w:rsidRDefault="00000000" w:rsidP="005A0A9B">
      <w:pPr>
        <w:numPr>
          <w:ilvl w:val="0"/>
          <w:numId w:val="19"/>
        </w:numPr>
        <w:spacing w:before="0"/>
        <w:ind w:right="0"/>
        <w:jc w:val="both"/>
        <w:rPr>
          <w:rFonts w:ascii="Arial" w:eastAsia="Arial" w:hAnsi="Arial" w:cs="Arial"/>
          <w:color w:val="000000"/>
          <w:sz w:val="22"/>
          <w:szCs w:val="22"/>
        </w:rPr>
      </w:pPr>
      <w:r>
        <w:rPr>
          <w:rFonts w:ascii="Arial" w:eastAsia="Arial" w:hAnsi="Arial" w:cs="Arial"/>
          <w:color w:val="000000"/>
          <w:sz w:val="22"/>
          <w:szCs w:val="22"/>
        </w:rPr>
        <w:t>Forecast for t+2 uses actual data up to t and forecast for t+1</w:t>
      </w:r>
    </w:p>
    <w:p w14:paraId="228E16C6" w14:textId="77777777" w:rsidR="0058584F" w:rsidRDefault="00000000" w:rsidP="005A0A9B">
      <w:pPr>
        <w:numPr>
          <w:ilvl w:val="0"/>
          <w:numId w:val="19"/>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This continues, with each forecast depending on previous forecasts</w:t>
      </w:r>
    </w:p>
    <w:p w14:paraId="400C7130"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21" w:name="_f74ywjivdcwq" w:colFirst="0" w:colLast="0"/>
      <w:bookmarkEnd w:id="21"/>
      <w:r>
        <w:rPr>
          <w:rFonts w:ascii="Arial" w:eastAsia="Arial" w:hAnsi="Arial" w:cs="Arial"/>
          <w:b/>
          <w:color w:val="000000"/>
          <w:sz w:val="26"/>
          <w:szCs w:val="26"/>
        </w:rPr>
        <w:t>5.5 Forecast Evaluation</w:t>
      </w:r>
    </w:p>
    <w:p w14:paraId="385F0E50"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Although not explicitly detailed in the repository documentation, proper time series forecasting includes:</w:t>
      </w:r>
    </w:p>
    <w:p w14:paraId="31B4DEAB"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Train-Test Split: Using historical data for training and withholding recent data for validation</w:t>
      </w:r>
    </w:p>
    <w:p w14:paraId="02CF042A"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Error Metrics:</w:t>
      </w:r>
    </w:p>
    <w:p w14:paraId="5ADF8205" w14:textId="77777777" w:rsidR="0058584F" w:rsidRDefault="00000000" w:rsidP="005A0A9B">
      <w:pPr>
        <w:numPr>
          <w:ilvl w:val="0"/>
          <w:numId w:val="27"/>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MAE (Mean Absolute Error): Average magnitude of errors</w:t>
      </w:r>
    </w:p>
    <w:p w14:paraId="4B8BCD97" w14:textId="77777777" w:rsidR="0058584F" w:rsidRDefault="00000000" w:rsidP="005A0A9B">
      <w:pPr>
        <w:numPr>
          <w:ilvl w:val="0"/>
          <w:numId w:val="27"/>
        </w:numPr>
        <w:spacing w:before="0"/>
        <w:ind w:right="0"/>
        <w:jc w:val="both"/>
        <w:rPr>
          <w:rFonts w:ascii="Arial" w:eastAsia="Arial" w:hAnsi="Arial" w:cs="Arial"/>
          <w:color w:val="000000"/>
          <w:sz w:val="22"/>
          <w:szCs w:val="22"/>
        </w:rPr>
      </w:pPr>
      <w:r>
        <w:rPr>
          <w:rFonts w:ascii="Arial" w:eastAsia="Arial" w:hAnsi="Arial" w:cs="Arial"/>
          <w:color w:val="000000"/>
          <w:sz w:val="22"/>
          <w:szCs w:val="22"/>
        </w:rPr>
        <w:t>RMSE (Root Mean Square Error): Penalizes larger errors more heavily</w:t>
      </w:r>
    </w:p>
    <w:p w14:paraId="4D5AE72E" w14:textId="77777777" w:rsidR="0058584F" w:rsidRDefault="00000000" w:rsidP="005A0A9B">
      <w:pPr>
        <w:numPr>
          <w:ilvl w:val="0"/>
          <w:numId w:val="27"/>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MAPE (Mean Absolute Percentage Error): Scale-independent metric useful for comparing across series</w:t>
      </w:r>
    </w:p>
    <w:p w14:paraId="3363BAEF"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Forecast Accuracy Assessment: Comparing predicted values against actual values in the test set</w:t>
      </w:r>
    </w:p>
    <w:p w14:paraId="0F60460B" w14:textId="77777777" w:rsidR="005A0A9B" w:rsidRDefault="005A0A9B" w:rsidP="005A0A9B">
      <w:pPr>
        <w:spacing w:before="240" w:after="240"/>
        <w:ind w:right="0"/>
        <w:jc w:val="both"/>
        <w:rPr>
          <w:rFonts w:ascii="Arial" w:eastAsia="Arial" w:hAnsi="Arial" w:cs="Arial"/>
          <w:color w:val="000000"/>
          <w:sz w:val="22"/>
          <w:szCs w:val="22"/>
        </w:rPr>
      </w:pPr>
    </w:p>
    <w:p w14:paraId="7459B5E3" w14:textId="77777777" w:rsidR="005A0A9B" w:rsidRDefault="005A0A9B" w:rsidP="005A0A9B">
      <w:pPr>
        <w:spacing w:before="240" w:after="240"/>
        <w:ind w:right="0"/>
        <w:jc w:val="both"/>
        <w:rPr>
          <w:rFonts w:ascii="Arial" w:eastAsia="Arial" w:hAnsi="Arial" w:cs="Arial"/>
          <w:color w:val="000000"/>
          <w:sz w:val="22"/>
          <w:szCs w:val="22"/>
        </w:rPr>
      </w:pPr>
    </w:p>
    <w:p w14:paraId="16C338C9" w14:textId="77777777" w:rsidR="005A0A9B" w:rsidRDefault="005A0A9B" w:rsidP="005A0A9B">
      <w:pPr>
        <w:spacing w:before="240" w:after="240"/>
        <w:ind w:right="0"/>
        <w:jc w:val="both"/>
        <w:rPr>
          <w:rFonts w:ascii="Arial" w:eastAsia="Arial" w:hAnsi="Arial" w:cs="Arial"/>
          <w:color w:val="000000"/>
          <w:sz w:val="22"/>
          <w:szCs w:val="22"/>
        </w:rPr>
      </w:pPr>
    </w:p>
    <w:p w14:paraId="140739E5"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22" w:name="_emgftztfzlr4" w:colFirst="0" w:colLast="0"/>
      <w:bookmarkEnd w:id="22"/>
      <w:r>
        <w:rPr>
          <w:rFonts w:ascii="Arial" w:eastAsia="Arial" w:hAnsi="Arial" w:cs="Arial"/>
          <w:sz w:val="34"/>
          <w:szCs w:val="34"/>
        </w:rPr>
        <w:lastRenderedPageBreak/>
        <w:t>6. Key Findings and Time Series Insights</w:t>
      </w:r>
    </w:p>
    <w:p w14:paraId="7444BC36"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23" w:name="_ev4uj25u8f7b" w:colFirst="0" w:colLast="0"/>
      <w:bookmarkEnd w:id="23"/>
      <w:r>
        <w:rPr>
          <w:rFonts w:ascii="Arial" w:eastAsia="Arial" w:hAnsi="Arial" w:cs="Arial"/>
          <w:b/>
          <w:color w:val="000000"/>
          <w:sz w:val="26"/>
          <w:szCs w:val="26"/>
        </w:rPr>
        <w:t>6.1 Correlation Patterns in Time Series</w:t>
      </w:r>
    </w:p>
    <w:p w14:paraId="0BF56266"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analysis reveals strong correlations between deposits and loans across different sectors. From a time series perspective, this suggests:</w:t>
      </w:r>
    </w:p>
    <w:p w14:paraId="5FCCA36B"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Cointegration: Two or more time series that share a common stochastic trend, indicating long-run equilibrium relationships</w:t>
      </w:r>
    </w:p>
    <w:p w14:paraId="48A61AD5"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Lead-Lag Relationships: The observation that government deposits decrease when loan advances rise suggests a temporal sequence where one series affects another with potential delays</w:t>
      </w:r>
    </w:p>
    <w:p w14:paraId="27604ADA"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Structural Breaks: Policy changes or economic events can create shifts in these relationships, visible as changes in correlation patterns over time</w:t>
      </w:r>
    </w:p>
    <w:p w14:paraId="34244F22"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24" w:name="_m26bgmrdh4wi" w:colFirst="0" w:colLast="0"/>
      <w:bookmarkEnd w:id="24"/>
      <w:r>
        <w:rPr>
          <w:rFonts w:ascii="Arial" w:eastAsia="Arial" w:hAnsi="Arial" w:cs="Arial"/>
          <w:b/>
          <w:color w:val="000000"/>
          <w:sz w:val="26"/>
          <w:szCs w:val="26"/>
        </w:rPr>
        <w:t>6.2 Asset Composition Trends</w:t>
      </w:r>
    </w:p>
    <w:p w14:paraId="6FFC9F32"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Foreign Currency Assets (D1) forming the largest share demonstrates India's substantial foreign exchange reserves. The time series trend analysis shows:</w:t>
      </w:r>
    </w:p>
    <w:p w14:paraId="497424D2" w14:textId="77777777" w:rsidR="0058584F" w:rsidRDefault="00000000" w:rsidP="005A0A9B">
      <w:pPr>
        <w:numPr>
          <w:ilvl w:val="0"/>
          <w:numId w:val="29"/>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Gradual accumulation over time</w:t>
      </w:r>
    </w:p>
    <w:p w14:paraId="07B5563F" w14:textId="77777777" w:rsidR="0058584F" w:rsidRDefault="00000000" w:rsidP="005A0A9B">
      <w:pPr>
        <w:numPr>
          <w:ilvl w:val="0"/>
          <w:numId w:val="29"/>
        </w:numPr>
        <w:spacing w:before="0"/>
        <w:ind w:right="0"/>
        <w:jc w:val="both"/>
        <w:rPr>
          <w:rFonts w:ascii="Arial" w:eastAsia="Arial" w:hAnsi="Arial" w:cs="Arial"/>
          <w:color w:val="000000"/>
          <w:sz w:val="22"/>
          <w:szCs w:val="22"/>
        </w:rPr>
      </w:pPr>
      <w:r>
        <w:rPr>
          <w:rFonts w:ascii="Arial" w:eastAsia="Arial" w:hAnsi="Arial" w:cs="Arial"/>
          <w:color w:val="000000"/>
          <w:sz w:val="22"/>
          <w:szCs w:val="22"/>
        </w:rPr>
        <w:t>Volatility related to balance of payment dynamics</w:t>
      </w:r>
    </w:p>
    <w:p w14:paraId="52BA6D14" w14:textId="77777777" w:rsidR="0058584F" w:rsidRDefault="00000000" w:rsidP="005A0A9B">
      <w:pPr>
        <w:numPr>
          <w:ilvl w:val="0"/>
          <w:numId w:val="29"/>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Response to global economic conditions</w:t>
      </w:r>
    </w:p>
    <w:p w14:paraId="54F768F6"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Gold (D2) showing steady growth aligns with RBI's diversification policy. This trend is important because:</w:t>
      </w:r>
    </w:p>
    <w:p w14:paraId="32829742" w14:textId="77777777" w:rsidR="0058584F" w:rsidRDefault="00000000" w:rsidP="005A0A9B">
      <w:pPr>
        <w:numPr>
          <w:ilvl w:val="0"/>
          <w:numId w:val="20"/>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Gold provides a hedge against currency volatility</w:t>
      </w:r>
    </w:p>
    <w:p w14:paraId="56F19C69" w14:textId="77777777" w:rsidR="0058584F" w:rsidRDefault="00000000" w:rsidP="005A0A9B">
      <w:pPr>
        <w:numPr>
          <w:ilvl w:val="0"/>
          <w:numId w:val="20"/>
        </w:numPr>
        <w:spacing w:before="0"/>
        <w:ind w:right="0"/>
        <w:jc w:val="both"/>
        <w:rPr>
          <w:rFonts w:ascii="Arial" w:eastAsia="Arial" w:hAnsi="Arial" w:cs="Arial"/>
          <w:color w:val="000000"/>
          <w:sz w:val="22"/>
          <w:szCs w:val="22"/>
        </w:rPr>
      </w:pPr>
      <w:r>
        <w:rPr>
          <w:rFonts w:ascii="Arial" w:eastAsia="Arial" w:hAnsi="Arial" w:cs="Arial"/>
          <w:color w:val="000000"/>
          <w:sz w:val="22"/>
          <w:szCs w:val="22"/>
        </w:rPr>
        <w:t>The upward trend reflects both price appreciation and quantity accumulation</w:t>
      </w:r>
    </w:p>
    <w:p w14:paraId="0E0A5565" w14:textId="77777777" w:rsidR="0058584F" w:rsidRDefault="00000000" w:rsidP="005A0A9B">
      <w:pPr>
        <w:numPr>
          <w:ilvl w:val="0"/>
          <w:numId w:val="20"/>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Smooth trends indicate deliberate policy rather than reactive measures</w:t>
      </w:r>
    </w:p>
    <w:p w14:paraId="3D7AB0B9"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25" w:name="_p2copum0mu37" w:colFirst="0" w:colLast="0"/>
      <w:bookmarkEnd w:id="25"/>
      <w:r>
        <w:rPr>
          <w:rFonts w:ascii="Arial" w:eastAsia="Arial" w:hAnsi="Arial" w:cs="Arial"/>
          <w:b/>
          <w:color w:val="000000"/>
          <w:sz w:val="26"/>
          <w:szCs w:val="26"/>
        </w:rPr>
        <w:t>6.3 Forecast Implications</w:t>
      </w:r>
    </w:p>
    <w:p w14:paraId="78EE7101" w14:textId="77777777" w:rsidR="00777E11" w:rsidRDefault="00000000" w:rsidP="00777E11">
      <w:p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The 12-week forecasts indicating moderate increases in deposits and foreign assets, with stable upward trends in currency circulation, provide actionable insights:</w:t>
      </w:r>
    </w:p>
    <w:p w14:paraId="565E3DC4" w14:textId="77777777" w:rsidR="00777E11" w:rsidRDefault="00000000" w:rsidP="005A0A9B">
      <w:pPr>
        <w:pStyle w:val="ListParagraph"/>
        <w:numPr>
          <w:ilvl w:val="0"/>
          <w:numId w:val="42"/>
        </w:numPr>
        <w:spacing w:before="0"/>
        <w:ind w:right="0"/>
        <w:jc w:val="both"/>
        <w:rPr>
          <w:rFonts w:ascii="Arial" w:eastAsia="Arial" w:hAnsi="Arial" w:cs="Arial"/>
          <w:color w:val="000000"/>
          <w:sz w:val="22"/>
          <w:szCs w:val="22"/>
        </w:rPr>
      </w:pPr>
      <w:r w:rsidRPr="00777E11">
        <w:rPr>
          <w:rFonts w:ascii="Arial" w:eastAsia="Arial" w:hAnsi="Arial" w:cs="Arial"/>
          <w:color w:val="000000"/>
          <w:sz w:val="22"/>
          <w:szCs w:val="22"/>
        </w:rPr>
        <w:t>Liquidity Planning: Banks and financial institutions can anticipate funding availability</w:t>
      </w:r>
    </w:p>
    <w:p w14:paraId="5D832B90" w14:textId="77777777" w:rsidR="00777E11" w:rsidRDefault="00000000" w:rsidP="00777E11">
      <w:pPr>
        <w:pStyle w:val="ListParagraph"/>
        <w:numPr>
          <w:ilvl w:val="0"/>
          <w:numId w:val="42"/>
        </w:numPr>
        <w:spacing w:before="0"/>
        <w:ind w:right="0"/>
        <w:jc w:val="both"/>
        <w:rPr>
          <w:rFonts w:ascii="Arial" w:eastAsia="Arial" w:hAnsi="Arial" w:cs="Arial"/>
          <w:color w:val="000000"/>
          <w:sz w:val="22"/>
          <w:szCs w:val="22"/>
        </w:rPr>
      </w:pPr>
      <w:r w:rsidRPr="00777E11">
        <w:rPr>
          <w:rFonts w:ascii="Arial" w:eastAsia="Arial" w:hAnsi="Arial" w:cs="Arial"/>
          <w:color w:val="000000"/>
          <w:sz w:val="22"/>
          <w:szCs w:val="22"/>
        </w:rPr>
        <w:t>Policy Preparation: Central bank can prepare for potential intervention needs</w:t>
      </w:r>
    </w:p>
    <w:p w14:paraId="7A0DCC11" w14:textId="5880BA98" w:rsidR="0058584F" w:rsidRPr="00777E11" w:rsidRDefault="00000000" w:rsidP="00777E11">
      <w:pPr>
        <w:pStyle w:val="ListParagraph"/>
        <w:numPr>
          <w:ilvl w:val="0"/>
          <w:numId w:val="42"/>
        </w:numPr>
        <w:spacing w:before="0"/>
        <w:ind w:right="0"/>
        <w:jc w:val="both"/>
        <w:rPr>
          <w:rFonts w:ascii="Arial" w:eastAsia="Arial" w:hAnsi="Arial" w:cs="Arial"/>
          <w:color w:val="000000"/>
          <w:sz w:val="22"/>
          <w:szCs w:val="22"/>
        </w:rPr>
      </w:pPr>
      <w:r w:rsidRPr="00777E11">
        <w:rPr>
          <w:rFonts w:ascii="Arial" w:eastAsia="Arial" w:hAnsi="Arial" w:cs="Arial"/>
          <w:color w:val="000000"/>
          <w:sz w:val="22"/>
          <w:szCs w:val="22"/>
        </w:rPr>
        <w:t>Economic Indicators: Trends in currency circulation reflect economic activity and payment system evolution</w:t>
      </w:r>
    </w:p>
    <w:p w14:paraId="7E5AA1DB"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26" w:name="_xsqnpdvqcy0" w:colFirst="0" w:colLast="0"/>
      <w:bookmarkEnd w:id="26"/>
      <w:r>
        <w:rPr>
          <w:rFonts w:ascii="Arial" w:eastAsia="Arial" w:hAnsi="Arial" w:cs="Arial"/>
          <w:sz w:val="34"/>
          <w:szCs w:val="34"/>
        </w:rPr>
        <w:lastRenderedPageBreak/>
        <w:t>7. Time Series Modeling Considerations and Extensions</w:t>
      </w:r>
    </w:p>
    <w:p w14:paraId="76004E29"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27" w:name="_n5ctfvc15mp" w:colFirst="0" w:colLast="0"/>
      <w:bookmarkEnd w:id="27"/>
      <w:r>
        <w:rPr>
          <w:rFonts w:ascii="Arial" w:eastAsia="Arial" w:hAnsi="Arial" w:cs="Arial"/>
          <w:b/>
          <w:color w:val="000000"/>
          <w:sz w:val="26"/>
          <w:szCs w:val="26"/>
        </w:rPr>
        <w:t>7.1 Current Model Limitations</w:t>
      </w:r>
    </w:p>
    <w:p w14:paraId="04C361A0" w14:textId="77777777" w:rsidR="0058584F" w:rsidRDefault="00000000" w:rsidP="00777E11">
      <w:pPr>
        <w:jc w:val="center"/>
      </w:pPr>
      <w:r>
        <w:rPr>
          <w:noProof/>
        </w:rPr>
        <w:drawing>
          <wp:inline distT="114300" distB="114300" distL="114300" distR="114300" wp14:anchorId="62C0D6CF" wp14:editId="5962CFC2">
            <wp:extent cx="5938520" cy="2368550"/>
            <wp:effectExtent l="0" t="0" r="508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8842" cy="2368678"/>
                    </a:xfrm>
                    <a:prstGeom prst="rect">
                      <a:avLst/>
                    </a:prstGeom>
                    <a:ln/>
                  </pic:spPr>
                </pic:pic>
              </a:graphicData>
            </a:graphic>
          </wp:inline>
        </w:drawing>
      </w:r>
    </w:p>
    <w:p w14:paraId="5684EBCC"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Univariate Focus: ARIMA models each series independently, ignoring potential relationships between variables</w:t>
      </w:r>
    </w:p>
    <w:p w14:paraId="4456E58C"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Linear Assumptions: ARIMA assumes linear relationships, which may not capture complex dynamics in financial data</w:t>
      </w:r>
    </w:p>
    <w:p w14:paraId="54B1100A"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Stationarity Requirements: The need for differencing can remove important level information</w:t>
      </w:r>
    </w:p>
    <w:p w14:paraId="27C123DB"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No External Variables: ARIMA doesn't incorporate exogenous factors like GDP, inflation, or policy rates</w:t>
      </w:r>
    </w:p>
    <w:p w14:paraId="37894254"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28" w:name="_a57stxdcxf1" w:colFirst="0" w:colLast="0"/>
      <w:bookmarkEnd w:id="28"/>
      <w:r>
        <w:rPr>
          <w:rFonts w:ascii="Arial" w:eastAsia="Arial" w:hAnsi="Arial" w:cs="Arial"/>
          <w:b/>
          <w:color w:val="000000"/>
          <w:sz w:val="26"/>
          <w:szCs w:val="26"/>
        </w:rPr>
        <w:t>7.2 Proposed Extensions Using Advanced Time Series Methods</w:t>
      </w:r>
    </w:p>
    <w:p w14:paraId="27C26C14"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SARIMA (Seasonal ARIMA): Extends ARIMA to explicitly model seasonal patterns with additional parameters (P, D, Q, s):</w:t>
      </w:r>
    </w:p>
    <w:p w14:paraId="68B913C1" w14:textId="77777777" w:rsidR="0058584F" w:rsidRDefault="00000000" w:rsidP="005A0A9B">
      <w:pPr>
        <w:numPr>
          <w:ilvl w:val="0"/>
          <w:numId w:val="25"/>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P: Seasonal autoregressive order</w:t>
      </w:r>
    </w:p>
    <w:p w14:paraId="1F37C0D0" w14:textId="77777777" w:rsidR="0058584F" w:rsidRDefault="00000000" w:rsidP="005A0A9B">
      <w:pPr>
        <w:numPr>
          <w:ilvl w:val="0"/>
          <w:numId w:val="25"/>
        </w:numPr>
        <w:spacing w:before="0"/>
        <w:ind w:right="0"/>
        <w:jc w:val="both"/>
        <w:rPr>
          <w:rFonts w:ascii="Arial" w:eastAsia="Arial" w:hAnsi="Arial" w:cs="Arial"/>
          <w:color w:val="000000"/>
          <w:sz w:val="22"/>
          <w:szCs w:val="22"/>
        </w:rPr>
      </w:pPr>
      <w:r>
        <w:rPr>
          <w:rFonts w:ascii="Arial" w:eastAsia="Arial" w:hAnsi="Arial" w:cs="Arial"/>
          <w:color w:val="000000"/>
          <w:sz w:val="22"/>
          <w:szCs w:val="22"/>
        </w:rPr>
        <w:t>D: Seasonal differencing order</w:t>
      </w:r>
    </w:p>
    <w:p w14:paraId="38EC9C0B" w14:textId="77777777" w:rsidR="0058584F" w:rsidRDefault="00000000" w:rsidP="005A0A9B">
      <w:pPr>
        <w:numPr>
          <w:ilvl w:val="0"/>
          <w:numId w:val="25"/>
        </w:numPr>
        <w:spacing w:before="0"/>
        <w:ind w:right="0"/>
        <w:jc w:val="both"/>
        <w:rPr>
          <w:rFonts w:ascii="Arial" w:eastAsia="Arial" w:hAnsi="Arial" w:cs="Arial"/>
          <w:color w:val="000000"/>
          <w:sz w:val="22"/>
          <w:szCs w:val="22"/>
        </w:rPr>
      </w:pPr>
      <w:r>
        <w:rPr>
          <w:rFonts w:ascii="Arial" w:eastAsia="Arial" w:hAnsi="Arial" w:cs="Arial"/>
          <w:color w:val="000000"/>
          <w:sz w:val="22"/>
          <w:szCs w:val="22"/>
        </w:rPr>
        <w:t>Q: Seasonal moving average order</w:t>
      </w:r>
    </w:p>
    <w:p w14:paraId="682B197A" w14:textId="77777777" w:rsidR="0058584F" w:rsidRDefault="00000000" w:rsidP="005A0A9B">
      <w:pPr>
        <w:numPr>
          <w:ilvl w:val="0"/>
          <w:numId w:val="25"/>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s: Length of seasonal cycle</w:t>
      </w:r>
    </w:p>
    <w:p w14:paraId="587D4219"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For weekly data, if quarterly patterns exist (s=13 weeks), SARIMA could capture them effectively.</w:t>
      </w:r>
    </w:p>
    <w:p w14:paraId="43B50441" w14:textId="77777777" w:rsidR="00777E11" w:rsidRDefault="00777E11" w:rsidP="005A0A9B">
      <w:pPr>
        <w:spacing w:before="240" w:after="240"/>
        <w:ind w:right="0"/>
        <w:jc w:val="both"/>
        <w:rPr>
          <w:rFonts w:ascii="Arial" w:eastAsia="Arial" w:hAnsi="Arial" w:cs="Arial"/>
          <w:color w:val="000000"/>
          <w:sz w:val="22"/>
          <w:szCs w:val="22"/>
        </w:rPr>
      </w:pPr>
    </w:p>
    <w:p w14:paraId="585D9EAF" w14:textId="3EC91846"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lastRenderedPageBreak/>
        <w:t>VAR (Vector Autoregression): Models multiple time series simultaneously, capturing interdependencies:</w:t>
      </w:r>
    </w:p>
    <w:p w14:paraId="1A9D851B" w14:textId="77777777" w:rsidR="0058584F" w:rsidRDefault="00000000" w:rsidP="005A0A9B">
      <w:pPr>
        <w:numPr>
          <w:ilvl w:val="0"/>
          <w:numId w:val="15"/>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Each variable is regressed on lags of itself and lags of all other variables</w:t>
      </w:r>
    </w:p>
    <w:p w14:paraId="28081502" w14:textId="77777777" w:rsidR="0058584F" w:rsidRDefault="00000000" w:rsidP="005A0A9B">
      <w:pPr>
        <w:numPr>
          <w:ilvl w:val="0"/>
          <w:numId w:val="15"/>
        </w:numPr>
        <w:spacing w:before="0"/>
        <w:ind w:right="0"/>
        <w:jc w:val="both"/>
        <w:rPr>
          <w:rFonts w:ascii="Arial" w:eastAsia="Arial" w:hAnsi="Arial" w:cs="Arial"/>
          <w:color w:val="000000"/>
          <w:sz w:val="22"/>
          <w:szCs w:val="22"/>
        </w:rPr>
      </w:pPr>
      <w:r>
        <w:rPr>
          <w:rFonts w:ascii="Arial" w:eastAsia="Arial" w:hAnsi="Arial" w:cs="Arial"/>
          <w:color w:val="000000"/>
          <w:sz w:val="22"/>
          <w:szCs w:val="22"/>
        </w:rPr>
        <w:t>Enables impulse response analysis (how shock to one series affects others)</w:t>
      </w:r>
    </w:p>
    <w:p w14:paraId="591AAA0B" w14:textId="12710EC1" w:rsidR="0058584F" w:rsidRDefault="00000000" w:rsidP="005A0A9B">
      <w:pPr>
        <w:numPr>
          <w:ilvl w:val="0"/>
          <w:numId w:val="15"/>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Granger causality testing (does one series help predict another)</w:t>
      </w:r>
    </w:p>
    <w:p w14:paraId="6EFA4A4D"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For RBI data, VAR could model how deposits, loans, and assets interact dynamically.</w:t>
      </w:r>
    </w:p>
    <w:p w14:paraId="130151CE"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Prophet: Facebook's forecasting tool designed for business time series:</w:t>
      </w:r>
    </w:p>
    <w:p w14:paraId="34ABF99E" w14:textId="77777777" w:rsidR="0058584F" w:rsidRDefault="00000000" w:rsidP="005A0A9B">
      <w:pPr>
        <w:numPr>
          <w:ilvl w:val="0"/>
          <w:numId w:val="2"/>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Decomposes series into trend, seasonality, and holidays</w:t>
      </w:r>
    </w:p>
    <w:p w14:paraId="4493FB90" w14:textId="77777777" w:rsidR="0058584F" w:rsidRDefault="00000000" w:rsidP="005A0A9B">
      <w:pPr>
        <w:numPr>
          <w:ilvl w:val="0"/>
          <w:numId w:val="2"/>
        </w:numPr>
        <w:spacing w:before="0"/>
        <w:ind w:right="0"/>
        <w:jc w:val="both"/>
        <w:rPr>
          <w:rFonts w:ascii="Arial" w:eastAsia="Arial" w:hAnsi="Arial" w:cs="Arial"/>
          <w:color w:val="000000"/>
          <w:sz w:val="22"/>
          <w:szCs w:val="22"/>
        </w:rPr>
      </w:pPr>
      <w:r>
        <w:rPr>
          <w:rFonts w:ascii="Arial" w:eastAsia="Arial" w:hAnsi="Arial" w:cs="Arial"/>
          <w:color w:val="000000"/>
          <w:sz w:val="22"/>
          <w:szCs w:val="22"/>
        </w:rPr>
        <w:t>Robust to missing data and outliers</w:t>
      </w:r>
    </w:p>
    <w:p w14:paraId="7C26A2FE" w14:textId="77777777" w:rsidR="0058584F" w:rsidRDefault="00000000" w:rsidP="005A0A9B">
      <w:pPr>
        <w:numPr>
          <w:ilvl w:val="0"/>
          <w:numId w:val="2"/>
        </w:numPr>
        <w:spacing w:before="0"/>
        <w:ind w:right="0"/>
        <w:jc w:val="both"/>
        <w:rPr>
          <w:rFonts w:ascii="Arial" w:eastAsia="Arial" w:hAnsi="Arial" w:cs="Arial"/>
          <w:color w:val="000000"/>
          <w:sz w:val="22"/>
          <w:szCs w:val="22"/>
        </w:rPr>
      </w:pPr>
      <w:r>
        <w:rPr>
          <w:rFonts w:ascii="Arial" w:eastAsia="Arial" w:hAnsi="Arial" w:cs="Arial"/>
          <w:color w:val="000000"/>
          <w:sz w:val="22"/>
          <w:szCs w:val="22"/>
        </w:rPr>
        <w:t>Intuitive parameter interpretation</w:t>
      </w:r>
    </w:p>
    <w:p w14:paraId="7147E8C0" w14:textId="77777777" w:rsidR="0058584F" w:rsidRDefault="00000000" w:rsidP="005A0A9B">
      <w:pPr>
        <w:numPr>
          <w:ilvl w:val="0"/>
          <w:numId w:val="2"/>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Suitable for weekly data with clear seasonal patterns</w:t>
      </w:r>
    </w:p>
    <w:p w14:paraId="6EB8FEF7"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LSTM (Long Short-Term Memory Networks): Deep learning approach for sequence modeling:</w:t>
      </w:r>
    </w:p>
    <w:p w14:paraId="4A1A3541" w14:textId="77777777" w:rsidR="0058584F" w:rsidRDefault="00000000" w:rsidP="005A0A9B">
      <w:pPr>
        <w:numPr>
          <w:ilvl w:val="0"/>
          <w:numId w:val="17"/>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Captures complex non-linear patterns</w:t>
      </w:r>
    </w:p>
    <w:p w14:paraId="6A79CB43" w14:textId="77777777" w:rsidR="0058584F" w:rsidRDefault="00000000" w:rsidP="005A0A9B">
      <w:pPr>
        <w:numPr>
          <w:ilvl w:val="0"/>
          <w:numId w:val="17"/>
        </w:numPr>
        <w:spacing w:before="0"/>
        <w:ind w:right="0"/>
        <w:jc w:val="both"/>
        <w:rPr>
          <w:rFonts w:ascii="Arial" w:eastAsia="Arial" w:hAnsi="Arial" w:cs="Arial"/>
          <w:color w:val="000000"/>
          <w:sz w:val="22"/>
          <w:szCs w:val="22"/>
        </w:rPr>
      </w:pPr>
      <w:r>
        <w:rPr>
          <w:rFonts w:ascii="Arial" w:eastAsia="Arial" w:hAnsi="Arial" w:cs="Arial"/>
          <w:color w:val="000000"/>
          <w:sz w:val="22"/>
          <w:szCs w:val="22"/>
        </w:rPr>
        <w:t>Handles long-term dependencies</w:t>
      </w:r>
    </w:p>
    <w:p w14:paraId="5D77C293" w14:textId="77777777" w:rsidR="0058584F" w:rsidRDefault="00000000" w:rsidP="005A0A9B">
      <w:pPr>
        <w:numPr>
          <w:ilvl w:val="0"/>
          <w:numId w:val="17"/>
        </w:numPr>
        <w:spacing w:before="0"/>
        <w:ind w:right="0"/>
        <w:jc w:val="both"/>
        <w:rPr>
          <w:rFonts w:ascii="Arial" w:eastAsia="Arial" w:hAnsi="Arial" w:cs="Arial"/>
          <w:color w:val="000000"/>
          <w:sz w:val="22"/>
          <w:szCs w:val="22"/>
        </w:rPr>
      </w:pPr>
      <w:r>
        <w:rPr>
          <w:rFonts w:ascii="Arial" w:eastAsia="Arial" w:hAnsi="Arial" w:cs="Arial"/>
          <w:color w:val="000000"/>
          <w:sz w:val="22"/>
          <w:szCs w:val="22"/>
        </w:rPr>
        <w:t>Requires substantial data for training</w:t>
      </w:r>
    </w:p>
    <w:p w14:paraId="56705732" w14:textId="77777777" w:rsidR="0058584F" w:rsidRDefault="00000000" w:rsidP="005A0A9B">
      <w:pPr>
        <w:numPr>
          <w:ilvl w:val="0"/>
          <w:numId w:val="17"/>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Appropriate when traditional models underperform</w:t>
      </w:r>
    </w:p>
    <w:p w14:paraId="2ECDF22E"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Multivariate GARCH Models: For modeling volatility in financial time series:</w:t>
      </w:r>
    </w:p>
    <w:p w14:paraId="2DD0A076" w14:textId="77777777" w:rsidR="0058584F" w:rsidRDefault="00000000" w:rsidP="005A0A9B">
      <w:pPr>
        <w:numPr>
          <w:ilvl w:val="0"/>
          <w:numId w:val="16"/>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Captures time-varying variance (heteroscedasticity)</w:t>
      </w:r>
    </w:p>
    <w:p w14:paraId="37A888DD" w14:textId="77777777" w:rsidR="0058584F" w:rsidRDefault="00000000" w:rsidP="005A0A9B">
      <w:pPr>
        <w:numPr>
          <w:ilvl w:val="0"/>
          <w:numId w:val="16"/>
        </w:numPr>
        <w:spacing w:before="0"/>
        <w:ind w:right="0"/>
        <w:jc w:val="both"/>
        <w:rPr>
          <w:rFonts w:ascii="Arial" w:eastAsia="Arial" w:hAnsi="Arial" w:cs="Arial"/>
          <w:color w:val="000000"/>
          <w:sz w:val="22"/>
          <w:szCs w:val="22"/>
        </w:rPr>
      </w:pPr>
      <w:proofErr w:type="gramStart"/>
      <w:r>
        <w:rPr>
          <w:rFonts w:ascii="Arial" w:eastAsia="Arial" w:hAnsi="Arial" w:cs="Arial"/>
          <w:color w:val="000000"/>
          <w:sz w:val="22"/>
          <w:szCs w:val="22"/>
        </w:rPr>
        <w:t>Models</w:t>
      </w:r>
      <w:proofErr w:type="gramEnd"/>
      <w:r>
        <w:rPr>
          <w:rFonts w:ascii="Arial" w:eastAsia="Arial" w:hAnsi="Arial" w:cs="Arial"/>
          <w:color w:val="000000"/>
          <w:sz w:val="22"/>
          <w:szCs w:val="22"/>
        </w:rPr>
        <w:t xml:space="preserve"> correlation dynamics between assets</w:t>
      </w:r>
    </w:p>
    <w:p w14:paraId="57975063" w14:textId="77777777" w:rsidR="0058584F" w:rsidRDefault="00000000" w:rsidP="005A0A9B">
      <w:pPr>
        <w:numPr>
          <w:ilvl w:val="0"/>
          <w:numId w:val="16"/>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Useful for risk assessment and portfolio management</w:t>
      </w:r>
    </w:p>
    <w:p w14:paraId="62F3D874" w14:textId="77777777" w:rsidR="0058584F" w:rsidRDefault="00000000" w:rsidP="00777E11">
      <w:pPr>
        <w:pStyle w:val="Heading3"/>
        <w:keepNext w:val="0"/>
        <w:keepLines w:val="0"/>
        <w:spacing w:before="280" w:after="80" w:line="312" w:lineRule="auto"/>
        <w:jc w:val="center"/>
        <w:rPr>
          <w:rFonts w:ascii="Arial" w:eastAsia="Arial" w:hAnsi="Arial" w:cs="Arial"/>
          <w:b/>
          <w:color w:val="000000"/>
          <w:sz w:val="26"/>
          <w:szCs w:val="26"/>
        </w:rPr>
      </w:pPr>
      <w:bookmarkStart w:id="29" w:name="_xllnhplgs5w9" w:colFirst="0" w:colLast="0"/>
      <w:bookmarkEnd w:id="29"/>
      <w:r>
        <w:rPr>
          <w:rFonts w:ascii="Arial" w:eastAsia="Arial" w:hAnsi="Arial" w:cs="Arial"/>
          <w:b/>
          <w:noProof/>
          <w:color w:val="000000"/>
          <w:sz w:val="26"/>
          <w:szCs w:val="26"/>
        </w:rPr>
        <w:drawing>
          <wp:inline distT="114300" distB="114300" distL="114300" distR="114300" wp14:anchorId="0F924DE5" wp14:editId="7AC2F13A">
            <wp:extent cx="5314950" cy="2652713"/>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314950" cy="2652713"/>
                    </a:xfrm>
                    <a:prstGeom prst="rect">
                      <a:avLst/>
                    </a:prstGeom>
                    <a:ln/>
                  </pic:spPr>
                </pic:pic>
              </a:graphicData>
            </a:graphic>
          </wp:inline>
        </w:drawing>
      </w:r>
    </w:p>
    <w:p w14:paraId="3FC3C8F6"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30" w:name="_xnx3xr95whfp" w:colFirst="0" w:colLast="0"/>
      <w:bookmarkEnd w:id="30"/>
      <w:r>
        <w:rPr>
          <w:rFonts w:ascii="Arial" w:eastAsia="Arial" w:hAnsi="Arial" w:cs="Arial"/>
          <w:b/>
          <w:color w:val="000000"/>
          <w:sz w:val="26"/>
          <w:szCs w:val="26"/>
        </w:rPr>
        <w:lastRenderedPageBreak/>
        <w:t>7.3 Incorporating External Variables</w:t>
      </w:r>
    </w:p>
    <w:p w14:paraId="550151A5"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 xml:space="preserve">ARIMAX (ARIMA with </w:t>
      </w:r>
      <w:proofErr w:type="spellStart"/>
      <w:r>
        <w:rPr>
          <w:rFonts w:ascii="Arial" w:eastAsia="Arial" w:hAnsi="Arial" w:cs="Arial"/>
          <w:color w:val="000000"/>
          <w:sz w:val="22"/>
          <w:szCs w:val="22"/>
        </w:rPr>
        <w:t>eXogenous</w:t>
      </w:r>
      <w:proofErr w:type="spellEnd"/>
      <w:r>
        <w:rPr>
          <w:rFonts w:ascii="Arial" w:eastAsia="Arial" w:hAnsi="Arial" w:cs="Arial"/>
          <w:color w:val="000000"/>
          <w:sz w:val="22"/>
          <w:szCs w:val="22"/>
        </w:rPr>
        <w:t xml:space="preserve"> variables): Extends ARIMA to include external predictors:</w:t>
      </w:r>
    </w:p>
    <w:p w14:paraId="2EA5FD56" w14:textId="77777777" w:rsidR="0058584F" w:rsidRDefault="00000000" w:rsidP="005A0A9B">
      <w:pPr>
        <w:numPr>
          <w:ilvl w:val="0"/>
          <w:numId w:val="24"/>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Macroeconomic indicators (GDP growth, inflation)</w:t>
      </w:r>
    </w:p>
    <w:p w14:paraId="30F49047" w14:textId="77777777" w:rsidR="0058584F" w:rsidRDefault="00000000" w:rsidP="005A0A9B">
      <w:pPr>
        <w:numPr>
          <w:ilvl w:val="0"/>
          <w:numId w:val="24"/>
        </w:numPr>
        <w:spacing w:before="0"/>
        <w:ind w:right="0"/>
        <w:jc w:val="both"/>
        <w:rPr>
          <w:rFonts w:ascii="Arial" w:eastAsia="Arial" w:hAnsi="Arial" w:cs="Arial"/>
          <w:color w:val="000000"/>
          <w:sz w:val="22"/>
          <w:szCs w:val="22"/>
        </w:rPr>
      </w:pPr>
      <w:r>
        <w:rPr>
          <w:rFonts w:ascii="Arial" w:eastAsia="Arial" w:hAnsi="Arial" w:cs="Arial"/>
          <w:color w:val="000000"/>
          <w:sz w:val="22"/>
          <w:szCs w:val="22"/>
        </w:rPr>
        <w:t>Policy variables (repo rate, CRR changes)</w:t>
      </w:r>
    </w:p>
    <w:p w14:paraId="314FCAF0" w14:textId="77777777" w:rsidR="0058584F" w:rsidRDefault="00000000" w:rsidP="005A0A9B">
      <w:pPr>
        <w:numPr>
          <w:ilvl w:val="0"/>
          <w:numId w:val="24"/>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Market indicators (stock indices, exchange rates)</w:t>
      </w:r>
    </w:p>
    <w:p w14:paraId="5D29162D"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This creates a regression model with ARIMA errors, combining explanatory power of regression with time series dynamics.</w:t>
      </w:r>
    </w:p>
    <w:p w14:paraId="0C44B702"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Transfer Function Models: Models how input time series affect output series:</w:t>
      </w:r>
    </w:p>
    <w:p w14:paraId="432D8877" w14:textId="77777777" w:rsidR="0058584F" w:rsidRDefault="00000000" w:rsidP="005A0A9B">
      <w:pPr>
        <w:numPr>
          <w:ilvl w:val="0"/>
          <w:numId w:val="4"/>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Quantifies dynamic response to interventions</w:t>
      </w:r>
    </w:p>
    <w:p w14:paraId="44D914AC" w14:textId="77777777" w:rsidR="0058584F" w:rsidRDefault="00000000" w:rsidP="005A0A9B">
      <w:pPr>
        <w:numPr>
          <w:ilvl w:val="0"/>
          <w:numId w:val="4"/>
        </w:numPr>
        <w:spacing w:before="0"/>
        <w:ind w:right="0"/>
        <w:jc w:val="both"/>
        <w:rPr>
          <w:rFonts w:ascii="Arial" w:eastAsia="Arial" w:hAnsi="Arial" w:cs="Arial"/>
          <w:color w:val="000000"/>
          <w:sz w:val="22"/>
          <w:szCs w:val="22"/>
        </w:rPr>
      </w:pPr>
      <w:r>
        <w:rPr>
          <w:rFonts w:ascii="Arial" w:eastAsia="Arial" w:hAnsi="Arial" w:cs="Arial"/>
          <w:color w:val="000000"/>
          <w:sz w:val="22"/>
          <w:szCs w:val="22"/>
        </w:rPr>
        <w:t>Useful for policy impact analysis</w:t>
      </w:r>
    </w:p>
    <w:p w14:paraId="56FAE359" w14:textId="77777777" w:rsidR="0058584F" w:rsidRDefault="00000000" w:rsidP="005A0A9B">
      <w:pPr>
        <w:numPr>
          <w:ilvl w:val="0"/>
          <w:numId w:val="4"/>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Example: How repo rate changes affect bank deposits over time</w:t>
      </w:r>
    </w:p>
    <w:p w14:paraId="4C21AB9F" w14:textId="77777777" w:rsidR="00777E11" w:rsidRDefault="00777E11" w:rsidP="00777E11">
      <w:pPr>
        <w:spacing w:before="0" w:after="240"/>
        <w:ind w:right="0"/>
        <w:jc w:val="both"/>
        <w:rPr>
          <w:rFonts w:ascii="Arial" w:eastAsia="Arial" w:hAnsi="Arial" w:cs="Arial"/>
          <w:color w:val="000000"/>
          <w:sz w:val="22"/>
          <w:szCs w:val="22"/>
        </w:rPr>
      </w:pPr>
    </w:p>
    <w:p w14:paraId="213491B6" w14:textId="77777777" w:rsidR="00777E11" w:rsidRDefault="00777E11" w:rsidP="00777E11">
      <w:pPr>
        <w:spacing w:before="0" w:after="240"/>
        <w:ind w:right="0"/>
        <w:jc w:val="both"/>
        <w:rPr>
          <w:rFonts w:ascii="Arial" w:eastAsia="Arial" w:hAnsi="Arial" w:cs="Arial"/>
          <w:color w:val="000000"/>
          <w:sz w:val="22"/>
          <w:szCs w:val="22"/>
        </w:rPr>
      </w:pPr>
    </w:p>
    <w:p w14:paraId="7C67138B" w14:textId="77777777" w:rsidR="00777E11" w:rsidRDefault="00777E11" w:rsidP="00777E11">
      <w:pPr>
        <w:spacing w:before="0" w:after="240"/>
        <w:ind w:right="0"/>
        <w:jc w:val="both"/>
        <w:rPr>
          <w:rFonts w:ascii="Arial" w:eastAsia="Arial" w:hAnsi="Arial" w:cs="Arial"/>
          <w:color w:val="000000"/>
          <w:sz w:val="22"/>
          <w:szCs w:val="22"/>
        </w:rPr>
      </w:pPr>
    </w:p>
    <w:p w14:paraId="70D87D03" w14:textId="77777777" w:rsidR="00777E11" w:rsidRDefault="00777E11" w:rsidP="00777E11">
      <w:pPr>
        <w:spacing w:before="0" w:after="240"/>
        <w:ind w:right="0"/>
        <w:jc w:val="both"/>
        <w:rPr>
          <w:rFonts w:ascii="Arial" w:eastAsia="Arial" w:hAnsi="Arial" w:cs="Arial"/>
          <w:color w:val="000000"/>
          <w:sz w:val="22"/>
          <w:szCs w:val="22"/>
        </w:rPr>
      </w:pPr>
    </w:p>
    <w:p w14:paraId="1B144BD4" w14:textId="77777777" w:rsidR="00777E11" w:rsidRDefault="00777E11" w:rsidP="00777E11">
      <w:pPr>
        <w:spacing w:before="0" w:after="240"/>
        <w:ind w:right="0"/>
        <w:jc w:val="both"/>
        <w:rPr>
          <w:rFonts w:ascii="Arial" w:eastAsia="Arial" w:hAnsi="Arial" w:cs="Arial"/>
          <w:color w:val="000000"/>
          <w:sz w:val="22"/>
          <w:szCs w:val="22"/>
        </w:rPr>
      </w:pPr>
    </w:p>
    <w:p w14:paraId="4687D867" w14:textId="77777777" w:rsidR="00777E11" w:rsidRDefault="00777E11" w:rsidP="00777E11">
      <w:pPr>
        <w:spacing w:before="0" w:after="240"/>
        <w:ind w:right="0"/>
        <w:jc w:val="both"/>
        <w:rPr>
          <w:rFonts w:ascii="Arial" w:eastAsia="Arial" w:hAnsi="Arial" w:cs="Arial"/>
          <w:color w:val="000000"/>
          <w:sz w:val="22"/>
          <w:szCs w:val="22"/>
        </w:rPr>
      </w:pPr>
    </w:p>
    <w:p w14:paraId="7BD50151" w14:textId="77777777" w:rsidR="00777E11" w:rsidRDefault="00777E11" w:rsidP="00777E11">
      <w:pPr>
        <w:spacing w:before="0" w:after="240"/>
        <w:ind w:right="0"/>
        <w:jc w:val="both"/>
        <w:rPr>
          <w:rFonts w:ascii="Arial" w:eastAsia="Arial" w:hAnsi="Arial" w:cs="Arial"/>
          <w:color w:val="000000"/>
          <w:sz w:val="22"/>
          <w:szCs w:val="22"/>
        </w:rPr>
      </w:pPr>
    </w:p>
    <w:p w14:paraId="671D8D22" w14:textId="77777777" w:rsidR="00777E11" w:rsidRDefault="00777E11" w:rsidP="00777E11">
      <w:pPr>
        <w:spacing w:before="0" w:after="240"/>
        <w:ind w:right="0"/>
        <w:jc w:val="both"/>
        <w:rPr>
          <w:rFonts w:ascii="Arial" w:eastAsia="Arial" w:hAnsi="Arial" w:cs="Arial"/>
          <w:color w:val="000000"/>
          <w:sz w:val="22"/>
          <w:szCs w:val="22"/>
        </w:rPr>
      </w:pPr>
    </w:p>
    <w:p w14:paraId="17C5C676" w14:textId="77777777" w:rsidR="00777E11" w:rsidRDefault="00777E11" w:rsidP="00777E11">
      <w:pPr>
        <w:spacing w:before="0" w:after="240"/>
        <w:ind w:right="0"/>
        <w:jc w:val="both"/>
        <w:rPr>
          <w:rFonts w:ascii="Arial" w:eastAsia="Arial" w:hAnsi="Arial" w:cs="Arial"/>
          <w:color w:val="000000"/>
          <w:sz w:val="22"/>
          <w:szCs w:val="22"/>
        </w:rPr>
      </w:pPr>
    </w:p>
    <w:p w14:paraId="6364A0C1" w14:textId="77777777" w:rsidR="00777E11" w:rsidRDefault="00777E11" w:rsidP="00777E11">
      <w:pPr>
        <w:spacing w:before="0" w:after="240"/>
        <w:ind w:right="0"/>
        <w:jc w:val="both"/>
        <w:rPr>
          <w:rFonts w:ascii="Arial" w:eastAsia="Arial" w:hAnsi="Arial" w:cs="Arial"/>
          <w:color w:val="000000"/>
          <w:sz w:val="22"/>
          <w:szCs w:val="22"/>
        </w:rPr>
      </w:pPr>
    </w:p>
    <w:p w14:paraId="62F0F9F6" w14:textId="77777777" w:rsidR="00777E11" w:rsidRDefault="00777E11" w:rsidP="00777E11">
      <w:pPr>
        <w:spacing w:before="0" w:after="240"/>
        <w:ind w:right="0"/>
        <w:jc w:val="both"/>
        <w:rPr>
          <w:rFonts w:ascii="Arial" w:eastAsia="Arial" w:hAnsi="Arial" w:cs="Arial"/>
          <w:color w:val="000000"/>
          <w:sz w:val="22"/>
          <w:szCs w:val="22"/>
        </w:rPr>
      </w:pPr>
    </w:p>
    <w:p w14:paraId="40B4C11C" w14:textId="77777777" w:rsidR="00777E11" w:rsidRDefault="00777E11" w:rsidP="00777E11">
      <w:pPr>
        <w:spacing w:before="0" w:after="240"/>
        <w:ind w:right="0"/>
        <w:jc w:val="both"/>
        <w:rPr>
          <w:rFonts w:ascii="Arial" w:eastAsia="Arial" w:hAnsi="Arial" w:cs="Arial"/>
          <w:color w:val="000000"/>
          <w:sz w:val="22"/>
          <w:szCs w:val="22"/>
        </w:rPr>
      </w:pPr>
    </w:p>
    <w:p w14:paraId="355E418F" w14:textId="77777777" w:rsidR="00777E11" w:rsidRDefault="00777E11" w:rsidP="00777E11">
      <w:pPr>
        <w:spacing w:before="0" w:after="240"/>
        <w:ind w:right="0"/>
        <w:jc w:val="both"/>
        <w:rPr>
          <w:rFonts w:ascii="Arial" w:eastAsia="Arial" w:hAnsi="Arial" w:cs="Arial"/>
          <w:color w:val="000000"/>
          <w:sz w:val="22"/>
          <w:szCs w:val="22"/>
        </w:rPr>
      </w:pPr>
    </w:p>
    <w:p w14:paraId="71F0B781"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31" w:name="_lym9shdgoh8z" w:colFirst="0" w:colLast="0"/>
      <w:bookmarkEnd w:id="31"/>
      <w:r>
        <w:rPr>
          <w:rFonts w:ascii="Arial" w:eastAsia="Arial" w:hAnsi="Arial" w:cs="Arial"/>
          <w:sz w:val="34"/>
          <w:szCs w:val="34"/>
        </w:rPr>
        <w:lastRenderedPageBreak/>
        <w:t>8. Technical Implementation and Tools</w:t>
      </w:r>
    </w:p>
    <w:p w14:paraId="3ABCB877" w14:textId="77777777" w:rsidR="0058584F" w:rsidRDefault="00000000" w:rsidP="00777E11">
      <w:pPr>
        <w:pStyle w:val="Heading3"/>
        <w:keepNext w:val="0"/>
        <w:keepLines w:val="0"/>
        <w:spacing w:before="280" w:after="80" w:line="312" w:lineRule="auto"/>
        <w:jc w:val="center"/>
        <w:rPr>
          <w:rFonts w:ascii="Arial" w:eastAsia="Arial" w:hAnsi="Arial" w:cs="Arial"/>
          <w:b/>
          <w:color w:val="000000"/>
          <w:sz w:val="26"/>
          <w:szCs w:val="26"/>
        </w:rPr>
      </w:pPr>
      <w:bookmarkStart w:id="32" w:name="_5evajihlp0zs" w:colFirst="0" w:colLast="0"/>
      <w:bookmarkEnd w:id="32"/>
      <w:r>
        <w:rPr>
          <w:rFonts w:ascii="Arial" w:eastAsia="Arial" w:hAnsi="Arial" w:cs="Arial"/>
          <w:b/>
          <w:noProof/>
          <w:color w:val="000000"/>
          <w:sz w:val="26"/>
          <w:szCs w:val="26"/>
        </w:rPr>
        <w:drawing>
          <wp:inline distT="114300" distB="114300" distL="114300" distR="114300" wp14:anchorId="23AD3043" wp14:editId="6A115A85">
            <wp:extent cx="4953000" cy="25336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953596" cy="2533955"/>
                    </a:xfrm>
                    <a:prstGeom prst="rect">
                      <a:avLst/>
                    </a:prstGeom>
                    <a:ln/>
                  </pic:spPr>
                </pic:pic>
              </a:graphicData>
            </a:graphic>
          </wp:inline>
        </w:drawing>
      </w:r>
    </w:p>
    <w:p w14:paraId="74FD7695"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33" w:name="_rfmaqs2at3f" w:colFirst="0" w:colLast="0"/>
      <w:bookmarkEnd w:id="33"/>
      <w:r>
        <w:rPr>
          <w:rFonts w:ascii="Arial" w:eastAsia="Arial" w:hAnsi="Arial" w:cs="Arial"/>
          <w:b/>
          <w:color w:val="000000"/>
          <w:sz w:val="26"/>
          <w:szCs w:val="26"/>
        </w:rPr>
        <w:t>8.1 Python Time Series Ecosystem</w:t>
      </w:r>
    </w:p>
    <w:p w14:paraId="3ABB2BAA"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project utilizes industry-standard Python libraries:</w:t>
      </w:r>
    </w:p>
    <w:p w14:paraId="3986E436"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 xml:space="preserve">pandas: Provides </w:t>
      </w:r>
      <w:proofErr w:type="spellStart"/>
      <w:r>
        <w:rPr>
          <w:rFonts w:ascii="Roboto Mono" w:eastAsia="Roboto Mono" w:hAnsi="Roboto Mono" w:cs="Roboto Mono"/>
          <w:color w:val="188038"/>
          <w:sz w:val="22"/>
          <w:szCs w:val="22"/>
        </w:rPr>
        <w:t>DatetimeIndex</w:t>
      </w:r>
      <w:proofErr w:type="spellEnd"/>
      <w:r>
        <w:rPr>
          <w:rFonts w:ascii="Arial" w:eastAsia="Arial" w:hAnsi="Arial" w:cs="Arial"/>
          <w:color w:val="000000"/>
          <w:sz w:val="22"/>
          <w:szCs w:val="22"/>
        </w:rPr>
        <w:t xml:space="preserve"> for time series operations, enabling:</w:t>
      </w:r>
    </w:p>
    <w:p w14:paraId="06EDC217" w14:textId="77777777" w:rsidR="0058584F" w:rsidRDefault="00000000" w:rsidP="005A0A9B">
      <w:pPr>
        <w:numPr>
          <w:ilvl w:val="0"/>
          <w:numId w:val="22"/>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Resampling (changing frequency)</w:t>
      </w:r>
    </w:p>
    <w:p w14:paraId="6A3B90FE" w14:textId="77777777" w:rsidR="0058584F" w:rsidRDefault="00000000" w:rsidP="005A0A9B">
      <w:pPr>
        <w:numPr>
          <w:ilvl w:val="0"/>
          <w:numId w:val="22"/>
        </w:numPr>
        <w:spacing w:before="0"/>
        <w:ind w:right="0"/>
        <w:jc w:val="both"/>
        <w:rPr>
          <w:rFonts w:ascii="Arial" w:eastAsia="Arial" w:hAnsi="Arial" w:cs="Arial"/>
          <w:color w:val="000000"/>
          <w:sz w:val="22"/>
          <w:szCs w:val="22"/>
        </w:rPr>
      </w:pPr>
      <w:r>
        <w:rPr>
          <w:rFonts w:ascii="Arial" w:eastAsia="Arial" w:hAnsi="Arial" w:cs="Arial"/>
          <w:color w:val="000000"/>
          <w:sz w:val="22"/>
          <w:szCs w:val="22"/>
        </w:rPr>
        <w:t>Rolling calculations</w:t>
      </w:r>
    </w:p>
    <w:p w14:paraId="0A3659A9" w14:textId="77777777" w:rsidR="0058584F" w:rsidRDefault="00000000" w:rsidP="005A0A9B">
      <w:pPr>
        <w:numPr>
          <w:ilvl w:val="0"/>
          <w:numId w:val="22"/>
        </w:numPr>
        <w:spacing w:before="0"/>
        <w:ind w:right="0"/>
        <w:jc w:val="both"/>
        <w:rPr>
          <w:rFonts w:ascii="Arial" w:eastAsia="Arial" w:hAnsi="Arial" w:cs="Arial"/>
          <w:color w:val="000000"/>
          <w:sz w:val="22"/>
          <w:szCs w:val="22"/>
        </w:rPr>
      </w:pPr>
      <w:r>
        <w:rPr>
          <w:rFonts w:ascii="Arial" w:eastAsia="Arial" w:hAnsi="Arial" w:cs="Arial"/>
          <w:color w:val="000000"/>
          <w:sz w:val="22"/>
          <w:szCs w:val="22"/>
        </w:rPr>
        <w:t>Time-based indexing and slicing</w:t>
      </w:r>
    </w:p>
    <w:p w14:paraId="621A65C2" w14:textId="77777777" w:rsidR="0058584F" w:rsidRDefault="00000000" w:rsidP="005A0A9B">
      <w:pPr>
        <w:numPr>
          <w:ilvl w:val="0"/>
          <w:numId w:val="22"/>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Lag creation</w:t>
      </w:r>
    </w:p>
    <w:p w14:paraId="29BEBA9D" w14:textId="77777777" w:rsidR="0058584F" w:rsidRDefault="00000000" w:rsidP="005A0A9B">
      <w:pPr>
        <w:spacing w:before="240" w:after="240"/>
        <w:ind w:right="0"/>
        <w:jc w:val="both"/>
        <w:rPr>
          <w:rFonts w:ascii="Arial" w:eastAsia="Arial" w:hAnsi="Arial" w:cs="Arial"/>
          <w:color w:val="000000"/>
          <w:sz w:val="22"/>
          <w:szCs w:val="22"/>
        </w:rPr>
      </w:pPr>
      <w:proofErr w:type="spellStart"/>
      <w:r>
        <w:rPr>
          <w:rFonts w:ascii="Arial" w:eastAsia="Arial" w:hAnsi="Arial" w:cs="Arial"/>
          <w:color w:val="000000"/>
          <w:sz w:val="22"/>
          <w:szCs w:val="22"/>
        </w:rPr>
        <w:t>statsmodels</w:t>
      </w:r>
      <w:proofErr w:type="spellEnd"/>
      <w:r>
        <w:rPr>
          <w:rFonts w:ascii="Arial" w:eastAsia="Arial" w:hAnsi="Arial" w:cs="Arial"/>
          <w:color w:val="000000"/>
          <w:sz w:val="22"/>
          <w:szCs w:val="22"/>
        </w:rPr>
        <w:t>: Comprehensive statistical modeling library offering:</w:t>
      </w:r>
    </w:p>
    <w:p w14:paraId="1509EB89" w14:textId="77777777" w:rsidR="0058584F" w:rsidRDefault="00000000" w:rsidP="005A0A9B">
      <w:pPr>
        <w:numPr>
          <w:ilvl w:val="0"/>
          <w:numId w:val="5"/>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ARIMA, SARIMA, SARIMAX implementations</w:t>
      </w:r>
    </w:p>
    <w:p w14:paraId="389D99B9" w14:textId="77777777" w:rsidR="0058584F" w:rsidRDefault="00000000" w:rsidP="005A0A9B">
      <w:pPr>
        <w:numPr>
          <w:ilvl w:val="0"/>
          <w:numId w:val="5"/>
        </w:numPr>
        <w:spacing w:before="0"/>
        <w:ind w:right="0"/>
        <w:jc w:val="both"/>
        <w:rPr>
          <w:rFonts w:ascii="Arial" w:eastAsia="Arial" w:hAnsi="Arial" w:cs="Arial"/>
          <w:color w:val="000000"/>
          <w:sz w:val="22"/>
          <w:szCs w:val="22"/>
        </w:rPr>
      </w:pPr>
      <w:r>
        <w:rPr>
          <w:rFonts w:ascii="Arial" w:eastAsia="Arial" w:hAnsi="Arial" w:cs="Arial"/>
          <w:color w:val="000000"/>
          <w:sz w:val="22"/>
          <w:szCs w:val="22"/>
        </w:rPr>
        <w:t>Statistical tests (ADF, KPSS, Ljung-Box)</w:t>
      </w:r>
    </w:p>
    <w:p w14:paraId="111F1578" w14:textId="77777777" w:rsidR="0058584F" w:rsidRDefault="00000000" w:rsidP="005A0A9B">
      <w:pPr>
        <w:numPr>
          <w:ilvl w:val="0"/>
          <w:numId w:val="5"/>
        </w:numPr>
        <w:spacing w:before="0"/>
        <w:ind w:right="0"/>
        <w:jc w:val="both"/>
        <w:rPr>
          <w:rFonts w:ascii="Arial" w:eastAsia="Arial" w:hAnsi="Arial" w:cs="Arial"/>
          <w:color w:val="000000"/>
          <w:sz w:val="22"/>
          <w:szCs w:val="22"/>
        </w:rPr>
      </w:pPr>
      <w:r>
        <w:rPr>
          <w:rFonts w:ascii="Arial" w:eastAsia="Arial" w:hAnsi="Arial" w:cs="Arial"/>
          <w:color w:val="000000"/>
          <w:sz w:val="22"/>
          <w:szCs w:val="22"/>
        </w:rPr>
        <w:t>Diagnostic plots (ACF, PACF, residual analysis)</w:t>
      </w:r>
    </w:p>
    <w:p w14:paraId="7087461A" w14:textId="77777777" w:rsidR="0058584F" w:rsidRDefault="00000000" w:rsidP="005A0A9B">
      <w:pPr>
        <w:numPr>
          <w:ilvl w:val="0"/>
          <w:numId w:val="5"/>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Model summary statistics</w:t>
      </w:r>
    </w:p>
    <w:p w14:paraId="1099456A" w14:textId="77777777" w:rsidR="0058584F" w:rsidRDefault="00000000" w:rsidP="005A0A9B">
      <w:pPr>
        <w:spacing w:before="240" w:after="240"/>
        <w:ind w:right="0"/>
        <w:jc w:val="both"/>
        <w:rPr>
          <w:rFonts w:ascii="Arial" w:eastAsia="Arial" w:hAnsi="Arial" w:cs="Arial"/>
          <w:color w:val="000000"/>
          <w:sz w:val="22"/>
          <w:szCs w:val="22"/>
        </w:rPr>
      </w:pPr>
      <w:proofErr w:type="spellStart"/>
      <w:r>
        <w:rPr>
          <w:rFonts w:ascii="Arial" w:eastAsia="Arial" w:hAnsi="Arial" w:cs="Arial"/>
          <w:color w:val="000000"/>
          <w:sz w:val="22"/>
          <w:szCs w:val="22"/>
        </w:rPr>
        <w:t>pmdarima</w:t>
      </w:r>
      <w:proofErr w:type="spellEnd"/>
      <w:r>
        <w:rPr>
          <w:rFonts w:ascii="Arial" w:eastAsia="Arial" w:hAnsi="Arial" w:cs="Arial"/>
          <w:color w:val="000000"/>
          <w:sz w:val="22"/>
          <w:szCs w:val="22"/>
        </w:rPr>
        <w:t>: Automated ARIMA modeling:</w:t>
      </w:r>
    </w:p>
    <w:p w14:paraId="6308B19F" w14:textId="77777777" w:rsidR="0058584F" w:rsidRDefault="00000000" w:rsidP="005A0A9B">
      <w:pPr>
        <w:numPr>
          <w:ilvl w:val="0"/>
          <w:numId w:val="21"/>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Grid search over parameter space</w:t>
      </w:r>
    </w:p>
    <w:p w14:paraId="5F9310DA" w14:textId="77777777" w:rsidR="0058584F" w:rsidRDefault="00000000" w:rsidP="005A0A9B">
      <w:pPr>
        <w:numPr>
          <w:ilvl w:val="0"/>
          <w:numId w:val="21"/>
        </w:numPr>
        <w:spacing w:before="0"/>
        <w:ind w:right="0"/>
        <w:jc w:val="both"/>
        <w:rPr>
          <w:rFonts w:ascii="Arial" w:eastAsia="Arial" w:hAnsi="Arial" w:cs="Arial"/>
          <w:color w:val="000000"/>
          <w:sz w:val="22"/>
          <w:szCs w:val="22"/>
        </w:rPr>
      </w:pPr>
      <w:r>
        <w:rPr>
          <w:rFonts w:ascii="Arial" w:eastAsia="Arial" w:hAnsi="Arial" w:cs="Arial"/>
          <w:color w:val="000000"/>
          <w:sz w:val="22"/>
          <w:szCs w:val="22"/>
        </w:rPr>
        <w:t>Built-in stationarity testing</w:t>
      </w:r>
    </w:p>
    <w:p w14:paraId="27FA7136" w14:textId="77777777" w:rsidR="0058584F" w:rsidRDefault="00000000" w:rsidP="005A0A9B">
      <w:pPr>
        <w:numPr>
          <w:ilvl w:val="0"/>
          <w:numId w:val="21"/>
        </w:numPr>
        <w:spacing w:before="0"/>
        <w:ind w:right="0"/>
        <w:jc w:val="both"/>
        <w:rPr>
          <w:rFonts w:ascii="Arial" w:eastAsia="Arial" w:hAnsi="Arial" w:cs="Arial"/>
          <w:color w:val="000000"/>
          <w:sz w:val="22"/>
          <w:szCs w:val="22"/>
        </w:rPr>
      </w:pPr>
      <w:r>
        <w:rPr>
          <w:rFonts w:ascii="Arial" w:eastAsia="Arial" w:hAnsi="Arial" w:cs="Arial"/>
          <w:color w:val="000000"/>
          <w:sz w:val="22"/>
          <w:szCs w:val="22"/>
        </w:rPr>
        <w:t>Stepwise algorithm for efficiency</w:t>
      </w:r>
    </w:p>
    <w:p w14:paraId="4DD5DB50" w14:textId="77777777" w:rsidR="0058584F" w:rsidRDefault="00000000" w:rsidP="005A0A9B">
      <w:pPr>
        <w:numPr>
          <w:ilvl w:val="0"/>
          <w:numId w:val="21"/>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Compatible with scikit-learn pipelines</w:t>
      </w:r>
    </w:p>
    <w:p w14:paraId="204B7CD5"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lastRenderedPageBreak/>
        <w:t>matplotlib/seaborn: Visualization tools essential for:</w:t>
      </w:r>
    </w:p>
    <w:p w14:paraId="0B00B905" w14:textId="77777777" w:rsidR="0058584F" w:rsidRDefault="00000000" w:rsidP="005A0A9B">
      <w:pPr>
        <w:numPr>
          <w:ilvl w:val="0"/>
          <w:numId w:val="31"/>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Time series plots</w:t>
      </w:r>
    </w:p>
    <w:p w14:paraId="35C6ACCA" w14:textId="77777777" w:rsidR="0058584F" w:rsidRDefault="00000000" w:rsidP="005A0A9B">
      <w:pPr>
        <w:numPr>
          <w:ilvl w:val="0"/>
          <w:numId w:val="31"/>
        </w:numPr>
        <w:spacing w:before="0"/>
        <w:ind w:right="0"/>
        <w:jc w:val="both"/>
        <w:rPr>
          <w:rFonts w:ascii="Arial" w:eastAsia="Arial" w:hAnsi="Arial" w:cs="Arial"/>
          <w:color w:val="000000"/>
          <w:sz w:val="22"/>
          <w:szCs w:val="22"/>
        </w:rPr>
      </w:pPr>
      <w:r>
        <w:rPr>
          <w:rFonts w:ascii="Arial" w:eastAsia="Arial" w:hAnsi="Arial" w:cs="Arial"/>
          <w:color w:val="000000"/>
          <w:sz w:val="22"/>
          <w:szCs w:val="22"/>
        </w:rPr>
        <w:t>Forecast visualization with confidence intervals</w:t>
      </w:r>
    </w:p>
    <w:p w14:paraId="21DF8F29" w14:textId="77777777" w:rsidR="0058584F" w:rsidRDefault="00000000" w:rsidP="005A0A9B">
      <w:pPr>
        <w:numPr>
          <w:ilvl w:val="0"/>
          <w:numId w:val="31"/>
        </w:numPr>
        <w:spacing w:before="0"/>
        <w:ind w:right="0"/>
        <w:jc w:val="both"/>
        <w:rPr>
          <w:rFonts w:ascii="Arial" w:eastAsia="Arial" w:hAnsi="Arial" w:cs="Arial"/>
          <w:color w:val="000000"/>
          <w:sz w:val="22"/>
          <w:szCs w:val="22"/>
        </w:rPr>
      </w:pPr>
      <w:r>
        <w:rPr>
          <w:rFonts w:ascii="Arial" w:eastAsia="Arial" w:hAnsi="Arial" w:cs="Arial"/>
          <w:color w:val="000000"/>
          <w:sz w:val="22"/>
          <w:szCs w:val="22"/>
        </w:rPr>
        <w:t>Diagnostic plots</w:t>
      </w:r>
    </w:p>
    <w:p w14:paraId="163CE93C"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34" w:name="_fbl2iwxo201y" w:colFirst="0" w:colLast="0"/>
      <w:bookmarkEnd w:id="34"/>
      <w:r>
        <w:rPr>
          <w:rFonts w:ascii="Arial" w:eastAsia="Arial" w:hAnsi="Arial" w:cs="Arial"/>
          <w:b/>
          <w:color w:val="000000"/>
          <w:sz w:val="26"/>
          <w:szCs w:val="26"/>
        </w:rPr>
        <w:t>8.2 Workflow Pipeline</w:t>
      </w:r>
    </w:p>
    <w:p w14:paraId="39CC5B12"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analysis follows a standard time series workflow:</w:t>
      </w:r>
    </w:p>
    <w:p w14:paraId="6FCE84D2" w14:textId="77777777" w:rsidR="0058584F" w:rsidRDefault="00000000" w:rsidP="005A0A9B">
      <w:pPr>
        <w:numPr>
          <w:ilvl w:val="0"/>
          <w:numId w:val="34"/>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Data Import and Indexing: Load data and set temporal index</w:t>
      </w:r>
    </w:p>
    <w:p w14:paraId="60CA70D6" w14:textId="77777777" w:rsidR="0058584F" w:rsidRDefault="00000000" w:rsidP="005A0A9B">
      <w:pPr>
        <w:numPr>
          <w:ilvl w:val="0"/>
          <w:numId w:val="34"/>
        </w:numPr>
        <w:spacing w:before="0"/>
        <w:ind w:right="0"/>
        <w:jc w:val="both"/>
        <w:rPr>
          <w:rFonts w:ascii="Arial" w:eastAsia="Arial" w:hAnsi="Arial" w:cs="Arial"/>
          <w:color w:val="000000"/>
          <w:sz w:val="22"/>
          <w:szCs w:val="22"/>
        </w:rPr>
      </w:pPr>
      <w:r>
        <w:rPr>
          <w:rFonts w:ascii="Arial" w:eastAsia="Arial" w:hAnsi="Arial" w:cs="Arial"/>
          <w:color w:val="000000"/>
          <w:sz w:val="22"/>
          <w:szCs w:val="22"/>
        </w:rPr>
        <w:t>Preprocessing: Handle missing values, format conversion</w:t>
      </w:r>
    </w:p>
    <w:p w14:paraId="5157A805" w14:textId="77777777" w:rsidR="0058584F" w:rsidRDefault="00000000" w:rsidP="005A0A9B">
      <w:pPr>
        <w:numPr>
          <w:ilvl w:val="0"/>
          <w:numId w:val="34"/>
        </w:numPr>
        <w:spacing w:before="0"/>
        <w:ind w:right="0"/>
        <w:jc w:val="both"/>
        <w:rPr>
          <w:rFonts w:ascii="Arial" w:eastAsia="Arial" w:hAnsi="Arial" w:cs="Arial"/>
          <w:color w:val="000000"/>
          <w:sz w:val="22"/>
          <w:szCs w:val="22"/>
        </w:rPr>
      </w:pPr>
      <w:r>
        <w:rPr>
          <w:rFonts w:ascii="Arial" w:eastAsia="Arial" w:hAnsi="Arial" w:cs="Arial"/>
          <w:color w:val="000000"/>
          <w:sz w:val="22"/>
          <w:szCs w:val="22"/>
        </w:rPr>
        <w:t>EDA: Visual analysis, correlation studies, decomposition</w:t>
      </w:r>
    </w:p>
    <w:p w14:paraId="2AD59F56" w14:textId="77777777" w:rsidR="0058584F" w:rsidRDefault="00000000" w:rsidP="005A0A9B">
      <w:pPr>
        <w:numPr>
          <w:ilvl w:val="0"/>
          <w:numId w:val="34"/>
        </w:numPr>
        <w:spacing w:before="0"/>
        <w:ind w:right="0"/>
        <w:jc w:val="both"/>
        <w:rPr>
          <w:rFonts w:ascii="Arial" w:eastAsia="Arial" w:hAnsi="Arial" w:cs="Arial"/>
          <w:color w:val="000000"/>
          <w:sz w:val="22"/>
          <w:szCs w:val="22"/>
        </w:rPr>
      </w:pPr>
      <w:r>
        <w:rPr>
          <w:rFonts w:ascii="Arial" w:eastAsia="Arial" w:hAnsi="Arial" w:cs="Arial"/>
          <w:color w:val="000000"/>
          <w:sz w:val="22"/>
          <w:szCs w:val="22"/>
        </w:rPr>
        <w:t>Stationarity Testing: ADF tests, differencing if needed</w:t>
      </w:r>
    </w:p>
    <w:p w14:paraId="604E5FB6" w14:textId="77777777" w:rsidR="0058584F" w:rsidRDefault="00000000" w:rsidP="005A0A9B">
      <w:pPr>
        <w:numPr>
          <w:ilvl w:val="0"/>
          <w:numId w:val="34"/>
        </w:numPr>
        <w:spacing w:before="0"/>
        <w:ind w:right="0"/>
        <w:jc w:val="both"/>
        <w:rPr>
          <w:rFonts w:ascii="Arial" w:eastAsia="Arial" w:hAnsi="Arial" w:cs="Arial"/>
          <w:color w:val="000000"/>
          <w:sz w:val="22"/>
          <w:szCs w:val="22"/>
        </w:rPr>
      </w:pPr>
      <w:r>
        <w:rPr>
          <w:rFonts w:ascii="Arial" w:eastAsia="Arial" w:hAnsi="Arial" w:cs="Arial"/>
          <w:color w:val="000000"/>
          <w:sz w:val="22"/>
          <w:szCs w:val="22"/>
        </w:rPr>
        <w:t xml:space="preserve">Model Selection: ACF/PACF analysis, </w:t>
      </w:r>
      <w:proofErr w:type="spellStart"/>
      <w:r>
        <w:rPr>
          <w:rFonts w:ascii="Arial" w:eastAsia="Arial" w:hAnsi="Arial" w:cs="Arial"/>
          <w:color w:val="000000"/>
          <w:sz w:val="22"/>
          <w:szCs w:val="22"/>
        </w:rPr>
        <w:t>auto.arima</w:t>
      </w:r>
      <w:proofErr w:type="spellEnd"/>
    </w:p>
    <w:p w14:paraId="39BAAF2C" w14:textId="77777777" w:rsidR="0058584F" w:rsidRDefault="00000000" w:rsidP="005A0A9B">
      <w:pPr>
        <w:numPr>
          <w:ilvl w:val="0"/>
          <w:numId w:val="34"/>
        </w:numPr>
        <w:spacing w:before="0"/>
        <w:ind w:right="0"/>
        <w:jc w:val="both"/>
        <w:rPr>
          <w:rFonts w:ascii="Arial" w:eastAsia="Arial" w:hAnsi="Arial" w:cs="Arial"/>
          <w:color w:val="000000"/>
          <w:sz w:val="22"/>
          <w:szCs w:val="22"/>
        </w:rPr>
      </w:pPr>
      <w:r>
        <w:rPr>
          <w:rFonts w:ascii="Arial" w:eastAsia="Arial" w:hAnsi="Arial" w:cs="Arial"/>
          <w:color w:val="000000"/>
          <w:sz w:val="22"/>
          <w:szCs w:val="22"/>
        </w:rPr>
        <w:t>Model Fitting: Parameter estimation, residual diagnostics</w:t>
      </w:r>
    </w:p>
    <w:p w14:paraId="49DEED98" w14:textId="77777777" w:rsidR="0058584F" w:rsidRDefault="00000000" w:rsidP="005A0A9B">
      <w:pPr>
        <w:numPr>
          <w:ilvl w:val="0"/>
          <w:numId w:val="34"/>
        </w:numPr>
        <w:spacing w:before="0"/>
        <w:ind w:right="0"/>
        <w:jc w:val="both"/>
        <w:rPr>
          <w:rFonts w:ascii="Arial" w:eastAsia="Arial" w:hAnsi="Arial" w:cs="Arial"/>
          <w:color w:val="000000"/>
          <w:sz w:val="22"/>
          <w:szCs w:val="22"/>
        </w:rPr>
      </w:pPr>
      <w:r>
        <w:rPr>
          <w:rFonts w:ascii="Arial" w:eastAsia="Arial" w:hAnsi="Arial" w:cs="Arial"/>
          <w:color w:val="000000"/>
          <w:sz w:val="22"/>
          <w:szCs w:val="22"/>
        </w:rPr>
        <w:t>Forecasting: Generate multi-step predictions</w:t>
      </w:r>
    </w:p>
    <w:p w14:paraId="084DCC6B" w14:textId="77777777" w:rsidR="0058584F" w:rsidRDefault="00000000" w:rsidP="005A0A9B">
      <w:pPr>
        <w:numPr>
          <w:ilvl w:val="0"/>
          <w:numId w:val="34"/>
        </w:numPr>
        <w:spacing w:before="0"/>
        <w:ind w:right="0"/>
        <w:jc w:val="both"/>
        <w:rPr>
          <w:rFonts w:ascii="Arial" w:eastAsia="Arial" w:hAnsi="Arial" w:cs="Arial"/>
          <w:color w:val="000000"/>
          <w:sz w:val="22"/>
          <w:szCs w:val="22"/>
        </w:rPr>
      </w:pPr>
      <w:r>
        <w:rPr>
          <w:rFonts w:ascii="Arial" w:eastAsia="Arial" w:hAnsi="Arial" w:cs="Arial"/>
          <w:color w:val="000000"/>
          <w:sz w:val="22"/>
          <w:szCs w:val="22"/>
        </w:rPr>
        <w:t>Visualization: Plot historical data, forecasts, and intervals</w:t>
      </w:r>
    </w:p>
    <w:p w14:paraId="2BA7E370" w14:textId="77777777" w:rsidR="0058584F" w:rsidRDefault="00000000" w:rsidP="005A0A9B">
      <w:pPr>
        <w:numPr>
          <w:ilvl w:val="0"/>
          <w:numId w:val="34"/>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 xml:space="preserve">Validation: Compare forecasts </w:t>
      </w:r>
      <w:proofErr w:type="spellStart"/>
      <w:r>
        <w:rPr>
          <w:rFonts w:ascii="Arial" w:eastAsia="Arial" w:hAnsi="Arial" w:cs="Arial"/>
          <w:color w:val="000000"/>
          <w:sz w:val="22"/>
          <w:szCs w:val="22"/>
        </w:rPr>
        <w:t>with held</w:t>
      </w:r>
      <w:proofErr w:type="spellEnd"/>
      <w:r>
        <w:rPr>
          <w:rFonts w:ascii="Arial" w:eastAsia="Arial" w:hAnsi="Arial" w:cs="Arial"/>
          <w:color w:val="000000"/>
          <w:sz w:val="22"/>
          <w:szCs w:val="22"/>
        </w:rPr>
        <w:t>-out data (if implemented)</w:t>
      </w:r>
    </w:p>
    <w:p w14:paraId="62CD0CDD"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This structured approach ensures reproducibility and systematic analysis.</w:t>
      </w:r>
    </w:p>
    <w:p w14:paraId="584399AD" w14:textId="77777777" w:rsidR="00777E11" w:rsidRDefault="00777E11" w:rsidP="005A0A9B">
      <w:pPr>
        <w:spacing w:before="240" w:after="240"/>
        <w:ind w:right="0"/>
        <w:jc w:val="both"/>
        <w:rPr>
          <w:rFonts w:ascii="Arial" w:eastAsia="Arial" w:hAnsi="Arial" w:cs="Arial"/>
          <w:color w:val="000000"/>
          <w:sz w:val="22"/>
          <w:szCs w:val="22"/>
        </w:rPr>
      </w:pPr>
    </w:p>
    <w:p w14:paraId="19A5B2B4" w14:textId="77777777" w:rsidR="00777E11" w:rsidRDefault="00777E11" w:rsidP="005A0A9B">
      <w:pPr>
        <w:spacing w:before="240" w:after="240"/>
        <w:ind w:right="0"/>
        <w:jc w:val="both"/>
        <w:rPr>
          <w:rFonts w:ascii="Arial" w:eastAsia="Arial" w:hAnsi="Arial" w:cs="Arial"/>
          <w:color w:val="000000"/>
          <w:sz w:val="22"/>
          <w:szCs w:val="22"/>
        </w:rPr>
      </w:pPr>
    </w:p>
    <w:p w14:paraId="20CABE06" w14:textId="77777777" w:rsidR="00777E11" w:rsidRDefault="00777E11" w:rsidP="005A0A9B">
      <w:pPr>
        <w:spacing w:before="240" w:after="240"/>
        <w:ind w:right="0"/>
        <w:jc w:val="both"/>
        <w:rPr>
          <w:rFonts w:ascii="Arial" w:eastAsia="Arial" w:hAnsi="Arial" w:cs="Arial"/>
          <w:color w:val="000000"/>
          <w:sz w:val="22"/>
          <w:szCs w:val="22"/>
        </w:rPr>
      </w:pPr>
    </w:p>
    <w:p w14:paraId="2383DEBB" w14:textId="77777777" w:rsidR="00777E11" w:rsidRDefault="00777E11" w:rsidP="005A0A9B">
      <w:pPr>
        <w:spacing w:before="240" w:after="240"/>
        <w:ind w:right="0"/>
        <w:jc w:val="both"/>
        <w:rPr>
          <w:rFonts w:ascii="Arial" w:eastAsia="Arial" w:hAnsi="Arial" w:cs="Arial"/>
          <w:color w:val="000000"/>
          <w:sz w:val="22"/>
          <w:szCs w:val="22"/>
        </w:rPr>
      </w:pPr>
    </w:p>
    <w:p w14:paraId="66C6CE8B" w14:textId="77777777" w:rsidR="00777E11" w:rsidRDefault="00777E11" w:rsidP="005A0A9B">
      <w:pPr>
        <w:spacing w:before="240" w:after="240"/>
        <w:ind w:right="0"/>
        <w:jc w:val="both"/>
        <w:rPr>
          <w:rFonts w:ascii="Arial" w:eastAsia="Arial" w:hAnsi="Arial" w:cs="Arial"/>
          <w:color w:val="000000"/>
          <w:sz w:val="22"/>
          <w:szCs w:val="22"/>
        </w:rPr>
      </w:pPr>
    </w:p>
    <w:p w14:paraId="23572663" w14:textId="77777777" w:rsidR="00777E11" w:rsidRDefault="00777E11" w:rsidP="005A0A9B">
      <w:pPr>
        <w:spacing w:before="240" w:after="240"/>
        <w:ind w:right="0"/>
        <w:jc w:val="both"/>
        <w:rPr>
          <w:rFonts w:ascii="Arial" w:eastAsia="Arial" w:hAnsi="Arial" w:cs="Arial"/>
          <w:color w:val="000000"/>
          <w:sz w:val="22"/>
          <w:szCs w:val="22"/>
        </w:rPr>
      </w:pPr>
    </w:p>
    <w:p w14:paraId="7CB58749" w14:textId="77777777" w:rsidR="00777E11" w:rsidRDefault="00777E11" w:rsidP="005A0A9B">
      <w:pPr>
        <w:spacing w:before="240" w:after="240"/>
        <w:ind w:right="0"/>
        <w:jc w:val="both"/>
        <w:rPr>
          <w:rFonts w:ascii="Arial" w:eastAsia="Arial" w:hAnsi="Arial" w:cs="Arial"/>
          <w:color w:val="000000"/>
          <w:sz w:val="22"/>
          <w:szCs w:val="22"/>
        </w:rPr>
      </w:pPr>
    </w:p>
    <w:p w14:paraId="28C3B8EC" w14:textId="77777777" w:rsidR="00777E11" w:rsidRDefault="00777E11" w:rsidP="005A0A9B">
      <w:pPr>
        <w:spacing w:before="240" w:after="240"/>
        <w:ind w:right="0"/>
        <w:jc w:val="both"/>
        <w:rPr>
          <w:rFonts w:ascii="Arial" w:eastAsia="Arial" w:hAnsi="Arial" w:cs="Arial"/>
          <w:color w:val="000000"/>
          <w:sz w:val="22"/>
          <w:szCs w:val="22"/>
        </w:rPr>
      </w:pPr>
    </w:p>
    <w:p w14:paraId="685D99B9" w14:textId="77777777" w:rsidR="00777E11" w:rsidRDefault="00777E11" w:rsidP="005A0A9B">
      <w:pPr>
        <w:spacing w:before="240" w:after="240"/>
        <w:ind w:right="0"/>
        <w:jc w:val="both"/>
        <w:rPr>
          <w:rFonts w:ascii="Arial" w:eastAsia="Arial" w:hAnsi="Arial" w:cs="Arial"/>
          <w:color w:val="000000"/>
          <w:sz w:val="22"/>
          <w:szCs w:val="22"/>
        </w:rPr>
      </w:pPr>
    </w:p>
    <w:p w14:paraId="364BA9C4" w14:textId="77777777" w:rsidR="00777E11" w:rsidRDefault="00777E11" w:rsidP="005A0A9B">
      <w:pPr>
        <w:spacing w:before="240" w:after="240"/>
        <w:ind w:right="0"/>
        <w:jc w:val="both"/>
        <w:rPr>
          <w:rFonts w:ascii="Arial" w:eastAsia="Arial" w:hAnsi="Arial" w:cs="Arial"/>
          <w:color w:val="000000"/>
          <w:sz w:val="22"/>
          <w:szCs w:val="22"/>
        </w:rPr>
      </w:pPr>
    </w:p>
    <w:p w14:paraId="51A06253" w14:textId="77777777" w:rsidR="00777E11" w:rsidRDefault="00777E11" w:rsidP="005A0A9B">
      <w:pPr>
        <w:spacing w:before="240" w:after="240"/>
        <w:ind w:right="0"/>
        <w:jc w:val="both"/>
        <w:rPr>
          <w:rFonts w:ascii="Arial" w:eastAsia="Arial" w:hAnsi="Arial" w:cs="Arial"/>
          <w:color w:val="000000"/>
          <w:sz w:val="22"/>
          <w:szCs w:val="22"/>
        </w:rPr>
      </w:pPr>
    </w:p>
    <w:p w14:paraId="6F735791"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35" w:name="_6fhey0ibbqao" w:colFirst="0" w:colLast="0"/>
      <w:bookmarkEnd w:id="35"/>
      <w:r>
        <w:rPr>
          <w:rFonts w:ascii="Arial" w:eastAsia="Arial" w:hAnsi="Arial" w:cs="Arial"/>
          <w:sz w:val="34"/>
          <w:szCs w:val="34"/>
        </w:rPr>
        <w:lastRenderedPageBreak/>
        <w:t>9. Practical Applications and Implications</w:t>
      </w:r>
    </w:p>
    <w:p w14:paraId="36F35B59"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36" w:name="_ebe4ydothyd2" w:colFirst="0" w:colLast="0"/>
      <w:bookmarkEnd w:id="36"/>
      <w:r>
        <w:rPr>
          <w:rFonts w:ascii="Arial" w:eastAsia="Arial" w:hAnsi="Arial" w:cs="Arial"/>
          <w:b/>
          <w:color w:val="000000"/>
          <w:sz w:val="26"/>
          <w:szCs w:val="26"/>
        </w:rPr>
        <w:t>9.1 Central Banking Operations</w:t>
      </w:r>
    </w:p>
    <w:p w14:paraId="310440F8"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Time series forecasting of balance sheet components enables:</w:t>
      </w:r>
    </w:p>
    <w:p w14:paraId="0B3D498E"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Liquidity Management: Predicting deposit and loan movements helps RBI manage system liquidity through:</w:t>
      </w:r>
    </w:p>
    <w:p w14:paraId="493B8FCC" w14:textId="77777777" w:rsidR="0058584F" w:rsidRDefault="00000000" w:rsidP="005A0A9B">
      <w:pPr>
        <w:numPr>
          <w:ilvl w:val="0"/>
          <w:numId w:val="23"/>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Open market operations timing</w:t>
      </w:r>
    </w:p>
    <w:p w14:paraId="0D085C54" w14:textId="77777777" w:rsidR="0058584F" w:rsidRDefault="00000000" w:rsidP="005A0A9B">
      <w:pPr>
        <w:numPr>
          <w:ilvl w:val="0"/>
          <w:numId w:val="23"/>
        </w:numPr>
        <w:spacing w:before="0"/>
        <w:ind w:right="0"/>
        <w:jc w:val="both"/>
        <w:rPr>
          <w:rFonts w:ascii="Arial" w:eastAsia="Arial" w:hAnsi="Arial" w:cs="Arial"/>
          <w:color w:val="000000"/>
          <w:sz w:val="22"/>
          <w:szCs w:val="22"/>
        </w:rPr>
      </w:pPr>
      <w:r>
        <w:rPr>
          <w:rFonts w:ascii="Arial" w:eastAsia="Arial" w:hAnsi="Arial" w:cs="Arial"/>
          <w:color w:val="000000"/>
          <w:sz w:val="22"/>
          <w:szCs w:val="22"/>
        </w:rPr>
        <w:t>Reserve requirement adjustments</w:t>
      </w:r>
    </w:p>
    <w:p w14:paraId="14CAC67B" w14:textId="77777777" w:rsidR="0058584F" w:rsidRDefault="00000000" w:rsidP="005A0A9B">
      <w:pPr>
        <w:numPr>
          <w:ilvl w:val="0"/>
          <w:numId w:val="23"/>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Standing facility rate decisions</w:t>
      </w:r>
    </w:p>
    <w:p w14:paraId="422D067E"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Reserve Adequacy Assessment: Forecasts of foreign currency assets inform:</w:t>
      </w:r>
    </w:p>
    <w:p w14:paraId="545EF740" w14:textId="77777777" w:rsidR="0058584F" w:rsidRDefault="00000000" w:rsidP="005A0A9B">
      <w:pPr>
        <w:numPr>
          <w:ilvl w:val="0"/>
          <w:numId w:val="36"/>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Import cover sufficiency</w:t>
      </w:r>
    </w:p>
    <w:p w14:paraId="5A40262B" w14:textId="77777777" w:rsidR="0058584F" w:rsidRDefault="00000000" w:rsidP="005A0A9B">
      <w:pPr>
        <w:numPr>
          <w:ilvl w:val="0"/>
          <w:numId w:val="36"/>
        </w:numPr>
        <w:spacing w:before="0"/>
        <w:ind w:right="0"/>
        <w:jc w:val="both"/>
        <w:rPr>
          <w:rFonts w:ascii="Arial" w:eastAsia="Arial" w:hAnsi="Arial" w:cs="Arial"/>
          <w:color w:val="000000"/>
          <w:sz w:val="22"/>
          <w:szCs w:val="22"/>
        </w:rPr>
      </w:pPr>
      <w:r>
        <w:rPr>
          <w:rFonts w:ascii="Arial" w:eastAsia="Arial" w:hAnsi="Arial" w:cs="Arial"/>
          <w:color w:val="000000"/>
          <w:sz w:val="22"/>
          <w:szCs w:val="22"/>
        </w:rPr>
        <w:t>External shock resilience</w:t>
      </w:r>
    </w:p>
    <w:p w14:paraId="6A052A3E" w14:textId="77777777" w:rsidR="0058584F" w:rsidRDefault="00000000" w:rsidP="005A0A9B">
      <w:pPr>
        <w:numPr>
          <w:ilvl w:val="0"/>
          <w:numId w:val="36"/>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Intervention capacity in forex markets</w:t>
      </w:r>
    </w:p>
    <w:p w14:paraId="63327891"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Currency Management: Predictions of notes in circulation guide:</w:t>
      </w:r>
    </w:p>
    <w:p w14:paraId="22485008" w14:textId="77777777" w:rsidR="0058584F" w:rsidRDefault="00000000" w:rsidP="005A0A9B">
      <w:pPr>
        <w:numPr>
          <w:ilvl w:val="0"/>
          <w:numId w:val="30"/>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Currency printing schedules</w:t>
      </w:r>
    </w:p>
    <w:p w14:paraId="4B331853" w14:textId="77777777" w:rsidR="0058584F" w:rsidRDefault="00000000" w:rsidP="005A0A9B">
      <w:pPr>
        <w:numPr>
          <w:ilvl w:val="0"/>
          <w:numId w:val="30"/>
        </w:numPr>
        <w:spacing w:before="0"/>
        <w:ind w:right="0"/>
        <w:jc w:val="both"/>
        <w:rPr>
          <w:rFonts w:ascii="Arial" w:eastAsia="Arial" w:hAnsi="Arial" w:cs="Arial"/>
          <w:color w:val="000000"/>
          <w:sz w:val="22"/>
          <w:szCs w:val="22"/>
        </w:rPr>
      </w:pPr>
      <w:r>
        <w:rPr>
          <w:rFonts w:ascii="Arial" w:eastAsia="Arial" w:hAnsi="Arial" w:cs="Arial"/>
          <w:color w:val="000000"/>
          <w:sz w:val="22"/>
          <w:szCs w:val="22"/>
        </w:rPr>
        <w:t>Distribution planning across regions</w:t>
      </w:r>
    </w:p>
    <w:p w14:paraId="023904B1" w14:textId="77777777" w:rsidR="0058584F" w:rsidRDefault="00000000" w:rsidP="005A0A9B">
      <w:pPr>
        <w:numPr>
          <w:ilvl w:val="0"/>
          <w:numId w:val="30"/>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Detection of abnormal cash demand</w:t>
      </w:r>
    </w:p>
    <w:p w14:paraId="6075BA4A"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37" w:name="_b7ijk2cw3pny" w:colFirst="0" w:colLast="0"/>
      <w:bookmarkEnd w:id="37"/>
      <w:r>
        <w:rPr>
          <w:rFonts w:ascii="Arial" w:eastAsia="Arial" w:hAnsi="Arial" w:cs="Arial"/>
          <w:b/>
          <w:color w:val="000000"/>
          <w:sz w:val="26"/>
          <w:szCs w:val="26"/>
        </w:rPr>
        <w:t>9.2 Policy Analysis</w:t>
      </w:r>
    </w:p>
    <w:p w14:paraId="1F78875F"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Time series analysis supports counterfactual analysis:</w:t>
      </w:r>
    </w:p>
    <w:p w14:paraId="6DEE13DC" w14:textId="77777777" w:rsidR="0058584F" w:rsidRDefault="00000000" w:rsidP="005A0A9B">
      <w:pPr>
        <w:numPr>
          <w:ilvl w:val="0"/>
          <w:numId w:val="10"/>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What would have happened without a policy intervention?</w:t>
      </w:r>
    </w:p>
    <w:p w14:paraId="617CE2A5" w14:textId="77777777" w:rsidR="0058584F" w:rsidRDefault="00000000" w:rsidP="005A0A9B">
      <w:pPr>
        <w:numPr>
          <w:ilvl w:val="0"/>
          <w:numId w:val="10"/>
        </w:numPr>
        <w:spacing w:before="0"/>
        <w:ind w:right="0"/>
        <w:jc w:val="both"/>
        <w:rPr>
          <w:rFonts w:ascii="Arial" w:eastAsia="Arial" w:hAnsi="Arial" w:cs="Arial"/>
          <w:color w:val="000000"/>
          <w:sz w:val="22"/>
          <w:szCs w:val="22"/>
        </w:rPr>
      </w:pPr>
      <w:r>
        <w:rPr>
          <w:rFonts w:ascii="Arial" w:eastAsia="Arial" w:hAnsi="Arial" w:cs="Arial"/>
          <w:color w:val="000000"/>
          <w:sz w:val="22"/>
          <w:szCs w:val="22"/>
        </w:rPr>
        <w:t>How long do policy effects persist?</w:t>
      </w:r>
    </w:p>
    <w:p w14:paraId="0F0FBA5F" w14:textId="77777777" w:rsidR="0058584F" w:rsidRDefault="00000000" w:rsidP="005A0A9B">
      <w:pPr>
        <w:numPr>
          <w:ilvl w:val="0"/>
          <w:numId w:val="10"/>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Are there unintended consequences visible in related series?</w:t>
      </w:r>
    </w:p>
    <w:p w14:paraId="696D8D99"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Structural break detection identifies regime changes from:</w:t>
      </w:r>
    </w:p>
    <w:p w14:paraId="2ADE248A" w14:textId="77777777" w:rsidR="0058584F" w:rsidRDefault="00000000" w:rsidP="005A0A9B">
      <w:pPr>
        <w:numPr>
          <w:ilvl w:val="0"/>
          <w:numId w:val="40"/>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Financial crises</w:t>
      </w:r>
    </w:p>
    <w:p w14:paraId="272C8293" w14:textId="77777777" w:rsidR="0058584F" w:rsidRDefault="00000000" w:rsidP="005A0A9B">
      <w:pPr>
        <w:numPr>
          <w:ilvl w:val="0"/>
          <w:numId w:val="40"/>
        </w:numPr>
        <w:spacing w:before="0"/>
        <w:ind w:right="0"/>
        <w:jc w:val="both"/>
        <w:rPr>
          <w:rFonts w:ascii="Arial" w:eastAsia="Arial" w:hAnsi="Arial" w:cs="Arial"/>
          <w:color w:val="000000"/>
          <w:sz w:val="22"/>
          <w:szCs w:val="22"/>
        </w:rPr>
      </w:pPr>
      <w:r>
        <w:rPr>
          <w:rFonts w:ascii="Arial" w:eastAsia="Arial" w:hAnsi="Arial" w:cs="Arial"/>
          <w:color w:val="000000"/>
          <w:sz w:val="22"/>
          <w:szCs w:val="22"/>
        </w:rPr>
        <w:t>Major policy reforms</w:t>
      </w:r>
    </w:p>
    <w:p w14:paraId="7199FCF8" w14:textId="77777777" w:rsidR="0058584F" w:rsidRDefault="00000000" w:rsidP="005A0A9B">
      <w:pPr>
        <w:numPr>
          <w:ilvl w:val="0"/>
          <w:numId w:val="40"/>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Technological shifts (e.g., digital payments impact on currency demand)</w:t>
      </w:r>
    </w:p>
    <w:p w14:paraId="0424B0D4" w14:textId="77777777" w:rsidR="00777E11" w:rsidRDefault="00777E11" w:rsidP="00777E11">
      <w:pPr>
        <w:spacing w:before="0" w:after="240"/>
        <w:ind w:right="0"/>
        <w:jc w:val="both"/>
        <w:rPr>
          <w:rFonts w:ascii="Arial" w:eastAsia="Arial" w:hAnsi="Arial" w:cs="Arial"/>
          <w:color w:val="000000"/>
          <w:sz w:val="22"/>
          <w:szCs w:val="22"/>
        </w:rPr>
      </w:pPr>
    </w:p>
    <w:p w14:paraId="38B633E3" w14:textId="77777777" w:rsidR="00777E11" w:rsidRDefault="00777E11" w:rsidP="00777E11">
      <w:pPr>
        <w:spacing w:before="0" w:after="240"/>
        <w:ind w:right="0"/>
        <w:jc w:val="both"/>
        <w:rPr>
          <w:rFonts w:ascii="Arial" w:eastAsia="Arial" w:hAnsi="Arial" w:cs="Arial"/>
          <w:color w:val="000000"/>
          <w:sz w:val="22"/>
          <w:szCs w:val="22"/>
        </w:rPr>
      </w:pPr>
    </w:p>
    <w:p w14:paraId="3B8A9F72"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38" w:name="_qgq12yllj2dz" w:colFirst="0" w:colLast="0"/>
      <w:bookmarkEnd w:id="38"/>
      <w:r>
        <w:rPr>
          <w:rFonts w:ascii="Arial" w:eastAsia="Arial" w:hAnsi="Arial" w:cs="Arial"/>
          <w:b/>
          <w:color w:val="000000"/>
          <w:sz w:val="26"/>
          <w:szCs w:val="26"/>
        </w:rPr>
        <w:lastRenderedPageBreak/>
        <w:t>9.3 Stakeholder Decision-Making</w:t>
      </w:r>
    </w:p>
    <w:p w14:paraId="50139AE0"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Commercial Banks: Use forecasts for:</w:t>
      </w:r>
    </w:p>
    <w:p w14:paraId="1B2961A3" w14:textId="77777777" w:rsidR="0058584F" w:rsidRDefault="00000000" w:rsidP="005A0A9B">
      <w:pPr>
        <w:numPr>
          <w:ilvl w:val="0"/>
          <w:numId w:val="14"/>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Reserve planning</w:t>
      </w:r>
    </w:p>
    <w:p w14:paraId="1D937106" w14:textId="77777777" w:rsidR="0058584F" w:rsidRDefault="00000000" w:rsidP="005A0A9B">
      <w:pPr>
        <w:numPr>
          <w:ilvl w:val="0"/>
          <w:numId w:val="14"/>
        </w:numPr>
        <w:spacing w:before="0"/>
        <w:ind w:right="0"/>
        <w:jc w:val="both"/>
        <w:rPr>
          <w:rFonts w:ascii="Arial" w:eastAsia="Arial" w:hAnsi="Arial" w:cs="Arial"/>
          <w:color w:val="000000"/>
          <w:sz w:val="22"/>
          <w:szCs w:val="22"/>
        </w:rPr>
      </w:pPr>
      <w:r>
        <w:rPr>
          <w:rFonts w:ascii="Arial" w:eastAsia="Arial" w:hAnsi="Arial" w:cs="Arial"/>
          <w:color w:val="000000"/>
          <w:sz w:val="22"/>
          <w:szCs w:val="22"/>
        </w:rPr>
        <w:t>Liquidity buffer management</w:t>
      </w:r>
    </w:p>
    <w:p w14:paraId="3C63BF9B" w14:textId="77777777" w:rsidR="0058584F" w:rsidRDefault="00000000" w:rsidP="005A0A9B">
      <w:pPr>
        <w:numPr>
          <w:ilvl w:val="0"/>
          <w:numId w:val="14"/>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Strategic asset allocation</w:t>
      </w:r>
    </w:p>
    <w:p w14:paraId="59BA81A3"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Government: Benefits from understanding:</w:t>
      </w:r>
    </w:p>
    <w:p w14:paraId="630C2C5E" w14:textId="77777777" w:rsidR="0058584F" w:rsidRDefault="00000000" w:rsidP="005A0A9B">
      <w:pPr>
        <w:numPr>
          <w:ilvl w:val="0"/>
          <w:numId w:val="1"/>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Borrowing cost implications</w:t>
      </w:r>
    </w:p>
    <w:p w14:paraId="650F1067" w14:textId="77777777" w:rsidR="0058584F" w:rsidRDefault="00000000" w:rsidP="005A0A9B">
      <w:pPr>
        <w:numPr>
          <w:ilvl w:val="0"/>
          <w:numId w:val="1"/>
        </w:numPr>
        <w:spacing w:before="0"/>
        <w:ind w:right="0"/>
        <w:jc w:val="both"/>
        <w:rPr>
          <w:rFonts w:ascii="Arial" w:eastAsia="Arial" w:hAnsi="Arial" w:cs="Arial"/>
          <w:color w:val="000000"/>
          <w:sz w:val="22"/>
          <w:szCs w:val="22"/>
        </w:rPr>
      </w:pPr>
      <w:r>
        <w:rPr>
          <w:rFonts w:ascii="Arial" w:eastAsia="Arial" w:hAnsi="Arial" w:cs="Arial"/>
          <w:color w:val="000000"/>
          <w:sz w:val="22"/>
          <w:szCs w:val="22"/>
        </w:rPr>
        <w:t>Timing of debt issuance</w:t>
      </w:r>
    </w:p>
    <w:p w14:paraId="0DF51BBC" w14:textId="77777777" w:rsidR="0058584F" w:rsidRDefault="00000000" w:rsidP="005A0A9B">
      <w:pPr>
        <w:numPr>
          <w:ilvl w:val="0"/>
          <w:numId w:val="1"/>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Fiscal-monetary coordination</w:t>
      </w:r>
    </w:p>
    <w:p w14:paraId="0F35A662"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Financial Markets: Participants use central bank balance sheet analysis for:</w:t>
      </w:r>
    </w:p>
    <w:p w14:paraId="183CC217" w14:textId="77777777" w:rsidR="0058584F" w:rsidRDefault="00000000" w:rsidP="005A0A9B">
      <w:pPr>
        <w:numPr>
          <w:ilvl w:val="0"/>
          <w:numId w:val="28"/>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Monetary policy stance assessment</w:t>
      </w:r>
    </w:p>
    <w:p w14:paraId="6DEEA094" w14:textId="77777777" w:rsidR="0058584F" w:rsidRDefault="00000000" w:rsidP="005A0A9B">
      <w:pPr>
        <w:numPr>
          <w:ilvl w:val="0"/>
          <w:numId w:val="28"/>
        </w:numPr>
        <w:spacing w:before="0"/>
        <w:ind w:right="0"/>
        <w:jc w:val="both"/>
        <w:rPr>
          <w:rFonts w:ascii="Arial" w:eastAsia="Arial" w:hAnsi="Arial" w:cs="Arial"/>
          <w:color w:val="000000"/>
          <w:sz w:val="22"/>
          <w:szCs w:val="22"/>
        </w:rPr>
      </w:pPr>
      <w:r>
        <w:rPr>
          <w:rFonts w:ascii="Arial" w:eastAsia="Arial" w:hAnsi="Arial" w:cs="Arial"/>
          <w:color w:val="000000"/>
          <w:sz w:val="22"/>
          <w:szCs w:val="22"/>
        </w:rPr>
        <w:t>Interest rate expectations</w:t>
      </w:r>
    </w:p>
    <w:p w14:paraId="76933EC1" w14:textId="77777777" w:rsidR="0058584F" w:rsidRDefault="00000000" w:rsidP="005A0A9B">
      <w:pPr>
        <w:numPr>
          <w:ilvl w:val="0"/>
          <w:numId w:val="28"/>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Risk-free rate forecasting</w:t>
      </w:r>
    </w:p>
    <w:p w14:paraId="09747FBE" w14:textId="77777777" w:rsidR="00777E11" w:rsidRDefault="00777E11" w:rsidP="00777E11">
      <w:pPr>
        <w:spacing w:before="0" w:after="240"/>
        <w:ind w:right="0"/>
        <w:jc w:val="both"/>
        <w:rPr>
          <w:rFonts w:ascii="Arial" w:eastAsia="Arial" w:hAnsi="Arial" w:cs="Arial"/>
          <w:color w:val="000000"/>
          <w:sz w:val="22"/>
          <w:szCs w:val="22"/>
        </w:rPr>
      </w:pPr>
    </w:p>
    <w:p w14:paraId="44BDD456" w14:textId="77777777" w:rsidR="00777E11" w:rsidRDefault="00777E11" w:rsidP="00777E11">
      <w:pPr>
        <w:spacing w:before="0" w:after="240"/>
        <w:ind w:right="0"/>
        <w:jc w:val="both"/>
        <w:rPr>
          <w:rFonts w:ascii="Arial" w:eastAsia="Arial" w:hAnsi="Arial" w:cs="Arial"/>
          <w:color w:val="000000"/>
          <w:sz w:val="22"/>
          <w:szCs w:val="22"/>
        </w:rPr>
      </w:pPr>
    </w:p>
    <w:p w14:paraId="0FC4F747" w14:textId="77777777" w:rsidR="00777E11" w:rsidRDefault="00777E11" w:rsidP="00777E11">
      <w:pPr>
        <w:spacing w:before="0" w:after="240"/>
        <w:ind w:right="0"/>
        <w:jc w:val="both"/>
        <w:rPr>
          <w:rFonts w:ascii="Arial" w:eastAsia="Arial" w:hAnsi="Arial" w:cs="Arial"/>
          <w:color w:val="000000"/>
          <w:sz w:val="22"/>
          <w:szCs w:val="22"/>
        </w:rPr>
      </w:pPr>
    </w:p>
    <w:p w14:paraId="0120345A" w14:textId="77777777" w:rsidR="00777E11" w:rsidRDefault="00777E11" w:rsidP="00777E11">
      <w:pPr>
        <w:spacing w:before="0" w:after="240"/>
        <w:ind w:right="0"/>
        <w:jc w:val="both"/>
        <w:rPr>
          <w:rFonts w:ascii="Arial" w:eastAsia="Arial" w:hAnsi="Arial" w:cs="Arial"/>
          <w:color w:val="000000"/>
          <w:sz w:val="22"/>
          <w:szCs w:val="22"/>
        </w:rPr>
      </w:pPr>
    </w:p>
    <w:p w14:paraId="49EB1E99" w14:textId="77777777" w:rsidR="00777E11" w:rsidRDefault="00777E11" w:rsidP="00777E11">
      <w:pPr>
        <w:spacing w:before="0" w:after="240"/>
        <w:ind w:right="0"/>
        <w:jc w:val="both"/>
        <w:rPr>
          <w:rFonts w:ascii="Arial" w:eastAsia="Arial" w:hAnsi="Arial" w:cs="Arial"/>
          <w:color w:val="000000"/>
          <w:sz w:val="22"/>
          <w:szCs w:val="22"/>
        </w:rPr>
      </w:pPr>
    </w:p>
    <w:p w14:paraId="4977C21C" w14:textId="77777777" w:rsidR="00777E11" w:rsidRDefault="00777E11" w:rsidP="00777E11">
      <w:pPr>
        <w:spacing w:before="0" w:after="240"/>
        <w:ind w:right="0"/>
        <w:jc w:val="both"/>
        <w:rPr>
          <w:rFonts w:ascii="Arial" w:eastAsia="Arial" w:hAnsi="Arial" w:cs="Arial"/>
          <w:color w:val="000000"/>
          <w:sz w:val="22"/>
          <w:szCs w:val="22"/>
        </w:rPr>
      </w:pPr>
    </w:p>
    <w:p w14:paraId="508FA405" w14:textId="77777777" w:rsidR="00777E11" w:rsidRDefault="00777E11" w:rsidP="00777E11">
      <w:pPr>
        <w:spacing w:before="0" w:after="240"/>
        <w:ind w:right="0"/>
        <w:jc w:val="both"/>
        <w:rPr>
          <w:rFonts w:ascii="Arial" w:eastAsia="Arial" w:hAnsi="Arial" w:cs="Arial"/>
          <w:color w:val="000000"/>
          <w:sz w:val="22"/>
          <w:szCs w:val="22"/>
        </w:rPr>
      </w:pPr>
    </w:p>
    <w:p w14:paraId="1B2CE8C7" w14:textId="77777777" w:rsidR="00777E11" w:rsidRDefault="00777E11" w:rsidP="00777E11">
      <w:pPr>
        <w:spacing w:before="0" w:after="240"/>
        <w:ind w:right="0"/>
        <w:jc w:val="both"/>
        <w:rPr>
          <w:rFonts w:ascii="Arial" w:eastAsia="Arial" w:hAnsi="Arial" w:cs="Arial"/>
          <w:color w:val="000000"/>
          <w:sz w:val="22"/>
          <w:szCs w:val="22"/>
        </w:rPr>
      </w:pPr>
    </w:p>
    <w:p w14:paraId="5FDC051D" w14:textId="77777777" w:rsidR="00777E11" w:rsidRDefault="00777E11" w:rsidP="00777E11">
      <w:pPr>
        <w:spacing w:before="0" w:after="240"/>
        <w:ind w:right="0"/>
        <w:jc w:val="both"/>
        <w:rPr>
          <w:rFonts w:ascii="Arial" w:eastAsia="Arial" w:hAnsi="Arial" w:cs="Arial"/>
          <w:color w:val="000000"/>
          <w:sz w:val="22"/>
          <w:szCs w:val="22"/>
        </w:rPr>
      </w:pPr>
    </w:p>
    <w:p w14:paraId="708719E2" w14:textId="77777777" w:rsidR="00777E11" w:rsidRDefault="00777E11" w:rsidP="00777E11">
      <w:pPr>
        <w:spacing w:before="0" w:after="240"/>
        <w:ind w:right="0"/>
        <w:jc w:val="both"/>
        <w:rPr>
          <w:rFonts w:ascii="Arial" w:eastAsia="Arial" w:hAnsi="Arial" w:cs="Arial"/>
          <w:color w:val="000000"/>
          <w:sz w:val="22"/>
          <w:szCs w:val="22"/>
        </w:rPr>
      </w:pPr>
    </w:p>
    <w:p w14:paraId="2D199A6A" w14:textId="77777777" w:rsidR="00777E11" w:rsidRDefault="00777E11" w:rsidP="00777E11">
      <w:pPr>
        <w:spacing w:before="0" w:after="240"/>
        <w:ind w:right="0"/>
        <w:jc w:val="both"/>
        <w:rPr>
          <w:rFonts w:ascii="Arial" w:eastAsia="Arial" w:hAnsi="Arial" w:cs="Arial"/>
          <w:color w:val="000000"/>
          <w:sz w:val="22"/>
          <w:szCs w:val="22"/>
        </w:rPr>
      </w:pPr>
    </w:p>
    <w:p w14:paraId="6BBD5AD7" w14:textId="77777777" w:rsidR="00777E11" w:rsidRDefault="00777E11" w:rsidP="00777E11">
      <w:pPr>
        <w:spacing w:before="0" w:after="240"/>
        <w:ind w:right="0"/>
        <w:jc w:val="both"/>
        <w:rPr>
          <w:rFonts w:ascii="Arial" w:eastAsia="Arial" w:hAnsi="Arial" w:cs="Arial"/>
          <w:color w:val="000000"/>
          <w:sz w:val="22"/>
          <w:szCs w:val="22"/>
        </w:rPr>
      </w:pPr>
    </w:p>
    <w:p w14:paraId="09DB6F06"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39" w:name="_e1r2cxd1lk4t" w:colFirst="0" w:colLast="0"/>
      <w:bookmarkEnd w:id="39"/>
      <w:r>
        <w:rPr>
          <w:rFonts w:ascii="Arial" w:eastAsia="Arial" w:hAnsi="Arial" w:cs="Arial"/>
          <w:sz w:val="34"/>
          <w:szCs w:val="34"/>
        </w:rPr>
        <w:lastRenderedPageBreak/>
        <w:t>10. Conclusion and Future Directions</w:t>
      </w:r>
    </w:p>
    <w:p w14:paraId="423EE4DD" w14:textId="77777777" w:rsidR="0058584F" w:rsidRDefault="00000000" w:rsidP="00777E11">
      <w:pPr>
        <w:jc w:val="center"/>
      </w:pPr>
      <w:r>
        <w:rPr>
          <w:noProof/>
        </w:rPr>
        <w:drawing>
          <wp:inline distT="114300" distB="114300" distL="114300" distR="114300" wp14:anchorId="069EC649" wp14:editId="7D6B10BC">
            <wp:extent cx="5168900" cy="3314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169527" cy="3315102"/>
                    </a:xfrm>
                    <a:prstGeom prst="rect">
                      <a:avLst/>
                    </a:prstGeom>
                    <a:ln/>
                  </pic:spPr>
                </pic:pic>
              </a:graphicData>
            </a:graphic>
          </wp:inline>
        </w:drawing>
      </w:r>
    </w:p>
    <w:p w14:paraId="01DEC828"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40" w:name="_8r15y4p9w1j2" w:colFirst="0" w:colLast="0"/>
      <w:bookmarkEnd w:id="40"/>
      <w:r>
        <w:rPr>
          <w:rFonts w:ascii="Arial" w:eastAsia="Arial" w:hAnsi="Arial" w:cs="Arial"/>
          <w:b/>
          <w:color w:val="000000"/>
          <w:sz w:val="26"/>
          <w:szCs w:val="26"/>
        </w:rPr>
        <w:t>10.1 Summary of Time Series Contributions</w:t>
      </w:r>
    </w:p>
    <w:p w14:paraId="5AB16026"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This project successfully demonstrates comprehensive time series analysis applied to real-world financial data. The use of ARIMA models provides reliable short-term forecasts while the exploratory analysis reveals important relationships and trends in India's monetary system. The weekly frequency data offers granular insights into rapid changes in financial conditions, making it valuable for operational decision-making.</w:t>
      </w:r>
    </w:p>
    <w:p w14:paraId="61C285CB"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41" w:name="_gucvxkp30iky" w:colFirst="0" w:colLast="0"/>
      <w:bookmarkEnd w:id="41"/>
      <w:r>
        <w:rPr>
          <w:rFonts w:ascii="Arial" w:eastAsia="Arial" w:hAnsi="Arial" w:cs="Arial"/>
          <w:b/>
          <w:color w:val="000000"/>
          <w:sz w:val="26"/>
          <w:szCs w:val="26"/>
        </w:rPr>
        <w:t>10.2 Methodological Strengths</w:t>
      </w:r>
    </w:p>
    <w:p w14:paraId="7E93B47A"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project's strengths include:</w:t>
      </w:r>
    </w:p>
    <w:p w14:paraId="037FB691" w14:textId="77777777" w:rsidR="0058584F" w:rsidRDefault="00000000" w:rsidP="005A0A9B">
      <w:pPr>
        <w:numPr>
          <w:ilvl w:val="0"/>
          <w:numId w:val="11"/>
        </w:numPr>
        <w:spacing w:before="240"/>
        <w:ind w:right="0"/>
        <w:jc w:val="both"/>
        <w:rPr>
          <w:rFonts w:ascii="Arial" w:eastAsia="Arial" w:hAnsi="Arial" w:cs="Arial"/>
          <w:color w:val="000000"/>
          <w:sz w:val="22"/>
          <w:szCs w:val="22"/>
        </w:rPr>
      </w:pPr>
      <w:r>
        <w:rPr>
          <w:rFonts w:ascii="Arial" w:eastAsia="Arial" w:hAnsi="Arial" w:cs="Arial"/>
          <w:color w:val="000000"/>
          <w:sz w:val="22"/>
          <w:szCs w:val="22"/>
        </w:rPr>
        <w:t>Appropriate data preprocessing for time series analysis</w:t>
      </w:r>
    </w:p>
    <w:p w14:paraId="558B9119" w14:textId="77777777" w:rsidR="0058584F" w:rsidRDefault="00000000" w:rsidP="005A0A9B">
      <w:pPr>
        <w:numPr>
          <w:ilvl w:val="0"/>
          <w:numId w:val="11"/>
        </w:numPr>
        <w:spacing w:before="0"/>
        <w:ind w:right="0"/>
        <w:jc w:val="both"/>
        <w:rPr>
          <w:rFonts w:ascii="Arial" w:eastAsia="Arial" w:hAnsi="Arial" w:cs="Arial"/>
          <w:color w:val="000000"/>
          <w:sz w:val="22"/>
          <w:szCs w:val="22"/>
        </w:rPr>
      </w:pPr>
      <w:r>
        <w:rPr>
          <w:rFonts w:ascii="Arial" w:eastAsia="Arial" w:hAnsi="Arial" w:cs="Arial"/>
          <w:color w:val="000000"/>
          <w:sz w:val="22"/>
          <w:szCs w:val="22"/>
        </w:rPr>
        <w:t>Systematic exploratory analysis revealing temporal patterns</w:t>
      </w:r>
    </w:p>
    <w:p w14:paraId="664A3D4D" w14:textId="77777777" w:rsidR="0058584F" w:rsidRDefault="00000000" w:rsidP="005A0A9B">
      <w:pPr>
        <w:numPr>
          <w:ilvl w:val="0"/>
          <w:numId w:val="11"/>
        </w:numPr>
        <w:spacing w:before="0"/>
        <w:ind w:right="0"/>
        <w:jc w:val="both"/>
        <w:rPr>
          <w:rFonts w:ascii="Arial" w:eastAsia="Arial" w:hAnsi="Arial" w:cs="Arial"/>
          <w:color w:val="000000"/>
          <w:sz w:val="22"/>
          <w:szCs w:val="22"/>
        </w:rPr>
      </w:pPr>
      <w:r>
        <w:rPr>
          <w:rFonts w:ascii="Arial" w:eastAsia="Arial" w:hAnsi="Arial" w:cs="Arial"/>
          <w:color w:val="000000"/>
          <w:sz w:val="22"/>
          <w:szCs w:val="22"/>
        </w:rPr>
        <w:t>Use of established forecasting methodology (ARIMA)</w:t>
      </w:r>
    </w:p>
    <w:p w14:paraId="491EAF47" w14:textId="77777777" w:rsidR="0058584F" w:rsidRDefault="00000000" w:rsidP="005A0A9B">
      <w:pPr>
        <w:numPr>
          <w:ilvl w:val="0"/>
          <w:numId w:val="11"/>
        </w:numPr>
        <w:spacing w:before="0"/>
        <w:ind w:right="0"/>
        <w:jc w:val="both"/>
        <w:rPr>
          <w:rFonts w:ascii="Arial" w:eastAsia="Arial" w:hAnsi="Arial" w:cs="Arial"/>
          <w:color w:val="000000"/>
          <w:sz w:val="22"/>
          <w:szCs w:val="22"/>
        </w:rPr>
      </w:pPr>
      <w:r>
        <w:rPr>
          <w:rFonts w:ascii="Arial" w:eastAsia="Arial" w:hAnsi="Arial" w:cs="Arial"/>
          <w:color w:val="000000"/>
          <w:sz w:val="22"/>
          <w:szCs w:val="22"/>
        </w:rPr>
        <w:t>Clear visualization of historical trends and forecasts</w:t>
      </w:r>
    </w:p>
    <w:p w14:paraId="39371DBF" w14:textId="77777777" w:rsidR="0058584F" w:rsidRDefault="00000000" w:rsidP="005A0A9B">
      <w:pPr>
        <w:numPr>
          <w:ilvl w:val="0"/>
          <w:numId w:val="11"/>
        </w:numPr>
        <w:spacing w:before="0" w:after="240"/>
        <w:ind w:right="0"/>
        <w:jc w:val="both"/>
        <w:rPr>
          <w:rFonts w:ascii="Arial" w:eastAsia="Arial" w:hAnsi="Arial" w:cs="Arial"/>
          <w:color w:val="000000"/>
          <w:sz w:val="22"/>
          <w:szCs w:val="22"/>
        </w:rPr>
      </w:pPr>
      <w:r>
        <w:rPr>
          <w:rFonts w:ascii="Arial" w:eastAsia="Arial" w:hAnsi="Arial" w:cs="Arial"/>
          <w:color w:val="000000"/>
          <w:sz w:val="22"/>
          <w:szCs w:val="22"/>
        </w:rPr>
        <w:t>Practical application to important economic data</w:t>
      </w:r>
    </w:p>
    <w:p w14:paraId="0B51173F" w14:textId="77777777" w:rsidR="00777E11" w:rsidRDefault="00777E11" w:rsidP="00777E11">
      <w:pPr>
        <w:spacing w:before="0" w:after="240"/>
        <w:ind w:right="0"/>
        <w:jc w:val="both"/>
        <w:rPr>
          <w:rFonts w:ascii="Arial" w:eastAsia="Arial" w:hAnsi="Arial" w:cs="Arial"/>
          <w:color w:val="000000"/>
          <w:sz w:val="22"/>
          <w:szCs w:val="22"/>
        </w:rPr>
      </w:pPr>
    </w:p>
    <w:p w14:paraId="243B0EEF" w14:textId="77777777" w:rsidR="00777E11" w:rsidRDefault="00777E11" w:rsidP="00777E11">
      <w:pPr>
        <w:spacing w:before="0" w:after="240"/>
        <w:ind w:right="0"/>
        <w:jc w:val="both"/>
        <w:rPr>
          <w:rFonts w:ascii="Arial" w:eastAsia="Arial" w:hAnsi="Arial" w:cs="Arial"/>
          <w:color w:val="000000"/>
          <w:sz w:val="22"/>
          <w:szCs w:val="22"/>
        </w:rPr>
      </w:pPr>
    </w:p>
    <w:p w14:paraId="127CF1E5"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42" w:name="_4924ktnack9l" w:colFirst="0" w:colLast="0"/>
      <w:bookmarkEnd w:id="42"/>
      <w:r>
        <w:rPr>
          <w:rFonts w:ascii="Arial" w:eastAsia="Arial" w:hAnsi="Arial" w:cs="Arial"/>
          <w:b/>
          <w:color w:val="000000"/>
          <w:sz w:val="26"/>
          <w:szCs w:val="26"/>
        </w:rPr>
        <w:lastRenderedPageBreak/>
        <w:t>10.3 Recommendations for Enhancement</w:t>
      </w:r>
    </w:p>
    <w:p w14:paraId="5E5898EF"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Seasonality Investigation: Implement SARIMA if seasonal patterns exist (fiscal year effects, festival seasons, agricultural cycles)</w:t>
      </w:r>
    </w:p>
    <w:p w14:paraId="07EFF241"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Multivariate Modeling: Employ VAR or VECM (Vector Error Correction Model) to capture system-wide dynamics and test for cointegration among related series</w:t>
      </w:r>
    </w:p>
    <w:p w14:paraId="1B2D4A88"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Forecast Combination: Combine ARIMA with other methods (exponential smoothing, machine learning) to potentially improve accuracy through ensemble approaches</w:t>
      </w:r>
    </w:p>
    <w:p w14:paraId="33910F9C"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Regime-Switching Models: Use Markov-switching models to account for different economic regimes (crisis vs. normal periods)</w:t>
      </w:r>
    </w:p>
    <w:p w14:paraId="5F10A318"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Real-time Forecasting: Implement rolling window forecasts that update as new data arrives, simulating operational forecasting environment</w:t>
      </w:r>
    </w:p>
    <w:p w14:paraId="1C4DBE3E"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 xml:space="preserve">Interactive Dashboards: Develop </w:t>
      </w:r>
      <w:proofErr w:type="spellStart"/>
      <w:r>
        <w:rPr>
          <w:rFonts w:ascii="Arial" w:eastAsia="Arial" w:hAnsi="Arial" w:cs="Arial"/>
          <w:color w:val="000000"/>
          <w:sz w:val="22"/>
          <w:szCs w:val="22"/>
        </w:rPr>
        <w:t>Streamlit</w:t>
      </w:r>
      <w:proofErr w:type="spellEnd"/>
      <w:r>
        <w:rPr>
          <w:rFonts w:ascii="Arial" w:eastAsia="Arial" w:hAnsi="Arial" w:cs="Arial"/>
          <w:color w:val="000000"/>
          <w:sz w:val="22"/>
          <w:szCs w:val="22"/>
        </w:rPr>
        <w:t xml:space="preserve"> or Dash applications for dynamic exploration and automated reporting</w:t>
      </w:r>
    </w:p>
    <w:p w14:paraId="6D8800ED" w14:textId="77777777" w:rsidR="0058584F" w:rsidRDefault="00000000" w:rsidP="005A0A9B">
      <w:pPr>
        <w:pStyle w:val="Heading3"/>
        <w:keepNext w:val="0"/>
        <w:keepLines w:val="0"/>
        <w:spacing w:before="280" w:after="80" w:line="312" w:lineRule="auto"/>
        <w:jc w:val="both"/>
        <w:rPr>
          <w:rFonts w:ascii="Arial" w:eastAsia="Arial" w:hAnsi="Arial" w:cs="Arial"/>
          <w:b/>
          <w:color w:val="000000"/>
          <w:sz w:val="26"/>
          <w:szCs w:val="26"/>
        </w:rPr>
      </w:pPr>
      <w:bookmarkStart w:id="43" w:name="_wnay2yhhh74o" w:colFirst="0" w:colLast="0"/>
      <w:bookmarkEnd w:id="43"/>
      <w:r>
        <w:rPr>
          <w:rFonts w:ascii="Arial" w:eastAsia="Arial" w:hAnsi="Arial" w:cs="Arial"/>
          <w:b/>
          <w:color w:val="000000"/>
          <w:sz w:val="26"/>
          <w:szCs w:val="26"/>
        </w:rPr>
        <w:t>10.4 Academic and Practical Value</w:t>
      </w:r>
    </w:p>
    <w:p w14:paraId="15986AFA"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This project bridges the gap between academic time series methodology and practical applications of central banking. It shows that even relatively simple techniques, such as ARIMA, can be extremely useful if applied in a careful manner to high-quality data. The work is an excellent template for students and practitioners interested in applied time series econometrics; it showcases all steps of the pipeline, from data acquisition to actionable forecasts.</w:t>
      </w:r>
    </w:p>
    <w:p w14:paraId="134CBB6F" w14:textId="77777777" w:rsidR="0058584F" w:rsidRDefault="00000000" w:rsidP="005A0A9B">
      <w:pPr>
        <w:spacing w:before="240" w:after="240"/>
        <w:ind w:right="0"/>
        <w:jc w:val="both"/>
        <w:rPr>
          <w:rFonts w:ascii="Arial" w:eastAsia="Arial" w:hAnsi="Arial" w:cs="Arial"/>
          <w:color w:val="000000"/>
          <w:sz w:val="22"/>
          <w:szCs w:val="22"/>
        </w:rPr>
      </w:pPr>
      <w:r>
        <w:rPr>
          <w:rFonts w:ascii="Arial" w:eastAsia="Arial" w:hAnsi="Arial" w:cs="Arial"/>
          <w:color w:val="000000"/>
          <w:sz w:val="22"/>
          <w:szCs w:val="22"/>
        </w:rPr>
        <w:t>The focus on RBI balance sheet data also carries implications for transparency in monetary operations, enabling independent analysis of central bank activities and informed public discourse related to monetary policy effectiveness.</w:t>
      </w:r>
    </w:p>
    <w:p w14:paraId="30FAFFFE" w14:textId="77777777" w:rsidR="00777E11" w:rsidRDefault="00777E11" w:rsidP="005A0A9B">
      <w:pPr>
        <w:spacing w:before="240" w:after="240"/>
        <w:ind w:right="0"/>
        <w:jc w:val="both"/>
        <w:rPr>
          <w:rFonts w:ascii="Arial" w:eastAsia="Arial" w:hAnsi="Arial" w:cs="Arial"/>
          <w:color w:val="000000"/>
          <w:sz w:val="22"/>
          <w:szCs w:val="22"/>
        </w:rPr>
      </w:pPr>
    </w:p>
    <w:p w14:paraId="1005FEAF" w14:textId="77777777" w:rsidR="00777E11" w:rsidRDefault="00777E11" w:rsidP="005A0A9B">
      <w:pPr>
        <w:spacing w:before="240" w:after="240"/>
        <w:ind w:right="0"/>
        <w:jc w:val="both"/>
        <w:rPr>
          <w:rFonts w:ascii="Arial" w:eastAsia="Arial" w:hAnsi="Arial" w:cs="Arial"/>
          <w:color w:val="000000"/>
          <w:sz w:val="22"/>
          <w:szCs w:val="22"/>
        </w:rPr>
      </w:pPr>
    </w:p>
    <w:p w14:paraId="43EB9C43" w14:textId="77777777" w:rsidR="00777E11" w:rsidRDefault="00777E11" w:rsidP="005A0A9B">
      <w:pPr>
        <w:spacing w:before="240" w:after="240"/>
        <w:ind w:right="0"/>
        <w:jc w:val="both"/>
        <w:rPr>
          <w:rFonts w:ascii="Arial" w:eastAsia="Arial" w:hAnsi="Arial" w:cs="Arial"/>
          <w:color w:val="000000"/>
          <w:sz w:val="22"/>
          <w:szCs w:val="22"/>
        </w:rPr>
      </w:pPr>
    </w:p>
    <w:p w14:paraId="04D00A95" w14:textId="77777777" w:rsidR="00777E11" w:rsidRDefault="00777E11" w:rsidP="005A0A9B">
      <w:pPr>
        <w:spacing w:before="240" w:after="240"/>
        <w:ind w:right="0"/>
        <w:jc w:val="both"/>
        <w:rPr>
          <w:rFonts w:ascii="Arial" w:eastAsia="Arial" w:hAnsi="Arial" w:cs="Arial"/>
          <w:color w:val="000000"/>
          <w:sz w:val="22"/>
          <w:szCs w:val="22"/>
        </w:rPr>
      </w:pPr>
    </w:p>
    <w:p w14:paraId="7E035817" w14:textId="77777777" w:rsidR="00777E11" w:rsidRDefault="00777E11" w:rsidP="005A0A9B">
      <w:pPr>
        <w:spacing w:before="240" w:after="240"/>
        <w:ind w:right="0"/>
        <w:jc w:val="both"/>
        <w:rPr>
          <w:rFonts w:ascii="Arial" w:eastAsia="Arial" w:hAnsi="Arial" w:cs="Arial"/>
          <w:color w:val="000000"/>
          <w:sz w:val="22"/>
          <w:szCs w:val="22"/>
        </w:rPr>
      </w:pPr>
    </w:p>
    <w:p w14:paraId="01BF5729" w14:textId="77777777" w:rsidR="0058584F" w:rsidRDefault="00000000" w:rsidP="005A0A9B">
      <w:pPr>
        <w:pStyle w:val="Heading2"/>
        <w:keepNext w:val="0"/>
        <w:keepLines w:val="0"/>
        <w:spacing w:before="360" w:after="80" w:line="312" w:lineRule="auto"/>
        <w:jc w:val="both"/>
        <w:rPr>
          <w:rFonts w:ascii="Arial" w:eastAsia="Arial" w:hAnsi="Arial" w:cs="Arial"/>
          <w:sz w:val="34"/>
          <w:szCs w:val="34"/>
        </w:rPr>
      </w:pPr>
      <w:bookmarkStart w:id="44" w:name="_zbgb3ngazxcv" w:colFirst="0" w:colLast="0"/>
      <w:bookmarkEnd w:id="44"/>
      <w:r>
        <w:rPr>
          <w:rFonts w:ascii="Arial" w:eastAsia="Arial" w:hAnsi="Arial" w:cs="Arial"/>
          <w:sz w:val="34"/>
          <w:szCs w:val="34"/>
        </w:rPr>
        <w:lastRenderedPageBreak/>
        <w:t>References and Data Source</w:t>
      </w:r>
    </w:p>
    <w:p w14:paraId="24B8FB9C" w14:textId="77777777" w:rsidR="00777E11" w:rsidRPr="00777E11" w:rsidRDefault="00000000" w:rsidP="00777E11">
      <w:pPr>
        <w:pStyle w:val="ListParagraph"/>
        <w:numPr>
          <w:ilvl w:val="0"/>
          <w:numId w:val="43"/>
        </w:numPr>
        <w:spacing w:before="240" w:after="240"/>
        <w:ind w:right="0"/>
        <w:rPr>
          <w:rFonts w:ascii="Arial" w:eastAsia="Arial" w:hAnsi="Arial" w:cs="Arial"/>
          <w:color w:val="000000"/>
          <w:sz w:val="22"/>
          <w:szCs w:val="22"/>
        </w:rPr>
      </w:pPr>
      <w:r w:rsidRPr="00777E11">
        <w:rPr>
          <w:rFonts w:ascii="Arial" w:eastAsia="Arial" w:hAnsi="Arial" w:cs="Arial"/>
          <w:color w:val="000000"/>
          <w:sz w:val="22"/>
          <w:szCs w:val="22"/>
        </w:rPr>
        <w:t>Data Source: Reserve Bank of India</w:t>
      </w:r>
      <w:r w:rsidR="00777E11" w:rsidRPr="00777E11">
        <w:rPr>
          <w:rFonts w:ascii="Arial" w:eastAsia="Arial" w:hAnsi="Arial" w:cs="Arial"/>
          <w:color w:val="000000"/>
          <w:sz w:val="22"/>
          <w:szCs w:val="22"/>
        </w:rPr>
        <w:t xml:space="preserve">- </w:t>
      </w:r>
      <w:r w:rsidRPr="00777E11">
        <w:rPr>
          <w:rFonts w:ascii="Arial" w:eastAsia="Arial" w:hAnsi="Arial" w:cs="Arial"/>
          <w:color w:val="000000"/>
          <w:sz w:val="22"/>
          <w:szCs w:val="22"/>
        </w:rPr>
        <w:t>Weekly Statistical Supplement (WSS)</w:t>
      </w:r>
    </w:p>
    <w:p w14:paraId="491A5B08" w14:textId="77777777" w:rsidR="00777E11" w:rsidRPr="00777E11" w:rsidRDefault="00000000" w:rsidP="00777E11">
      <w:pPr>
        <w:pStyle w:val="ListParagraph"/>
        <w:numPr>
          <w:ilvl w:val="0"/>
          <w:numId w:val="43"/>
        </w:numPr>
        <w:spacing w:before="240" w:after="240"/>
        <w:ind w:right="0"/>
        <w:rPr>
          <w:rFonts w:ascii="Arial" w:eastAsia="Arial" w:hAnsi="Arial" w:cs="Arial"/>
          <w:color w:val="000000"/>
          <w:sz w:val="22"/>
          <w:szCs w:val="22"/>
        </w:rPr>
      </w:pPr>
      <w:r w:rsidRPr="00777E11">
        <w:rPr>
          <w:rFonts w:ascii="Arial" w:eastAsia="Arial" w:hAnsi="Arial" w:cs="Arial"/>
          <w:color w:val="000000"/>
          <w:sz w:val="22"/>
          <w:szCs w:val="22"/>
        </w:rPr>
        <w:t>Project Repository: GitHub - aneerban10/time-series-analysis-project-RBIE</w:t>
      </w:r>
    </w:p>
    <w:p w14:paraId="7DD00E8C" w14:textId="77777777" w:rsidR="00777E11" w:rsidRPr="00777E11" w:rsidRDefault="00000000" w:rsidP="00777E11">
      <w:pPr>
        <w:pStyle w:val="ListParagraph"/>
        <w:numPr>
          <w:ilvl w:val="0"/>
          <w:numId w:val="43"/>
        </w:numPr>
        <w:spacing w:before="240" w:after="240"/>
        <w:ind w:right="0"/>
        <w:rPr>
          <w:rFonts w:ascii="Arial" w:eastAsia="Arial" w:hAnsi="Arial" w:cs="Arial"/>
          <w:color w:val="000000"/>
          <w:sz w:val="22"/>
          <w:szCs w:val="22"/>
        </w:rPr>
      </w:pPr>
      <w:r w:rsidRPr="00777E11">
        <w:rPr>
          <w:rFonts w:ascii="Arial" w:eastAsia="Arial" w:hAnsi="Arial" w:cs="Arial"/>
          <w:color w:val="000000"/>
          <w:sz w:val="22"/>
          <w:szCs w:val="22"/>
        </w:rPr>
        <w:t>Authors: Aneerban Chowdhury, Sneha Sawla, Neha Challa</w:t>
      </w:r>
    </w:p>
    <w:p w14:paraId="1B0DD8D1" w14:textId="77777777" w:rsidR="00777E11" w:rsidRPr="00777E11" w:rsidRDefault="00000000" w:rsidP="00777E11">
      <w:pPr>
        <w:pStyle w:val="ListParagraph"/>
        <w:numPr>
          <w:ilvl w:val="0"/>
          <w:numId w:val="43"/>
        </w:numPr>
        <w:spacing w:before="240" w:after="240"/>
        <w:ind w:right="0"/>
        <w:rPr>
          <w:rFonts w:ascii="Arial" w:eastAsia="Arial" w:hAnsi="Arial" w:cs="Arial"/>
          <w:color w:val="000000"/>
          <w:sz w:val="22"/>
          <w:szCs w:val="22"/>
        </w:rPr>
      </w:pPr>
      <w:r w:rsidRPr="00777E11">
        <w:rPr>
          <w:rFonts w:ascii="Arial" w:eastAsia="Arial" w:hAnsi="Arial" w:cs="Arial"/>
          <w:color w:val="000000"/>
          <w:sz w:val="22"/>
          <w:szCs w:val="22"/>
        </w:rPr>
        <w:t xml:space="preserve">Tools: Python, pandas, matplotlib, </w:t>
      </w:r>
      <w:proofErr w:type="spellStart"/>
      <w:r w:rsidRPr="00777E11">
        <w:rPr>
          <w:rFonts w:ascii="Arial" w:eastAsia="Arial" w:hAnsi="Arial" w:cs="Arial"/>
          <w:color w:val="000000"/>
          <w:sz w:val="22"/>
          <w:szCs w:val="22"/>
        </w:rPr>
        <w:t>statsmodels</w:t>
      </w:r>
      <w:proofErr w:type="spellEnd"/>
      <w:r w:rsidRPr="00777E11">
        <w:rPr>
          <w:rFonts w:ascii="Arial" w:eastAsia="Arial" w:hAnsi="Arial" w:cs="Arial"/>
          <w:color w:val="000000"/>
          <w:sz w:val="22"/>
          <w:szCs w:val="22"/>
        </w:rPr>
        <w:t xml:space="preserve">, </w:t>
      </w:r>
      <w:proofErr w:type="spellStart"/>
      <w:r w:rsidRPr="00777E11">
        <w:rPr>
          <w:rFonts w:ascii="Arial" w:eastAsia="Arial" w:hAnsi="Arial" w:cs="Arial"/>
          <w:color w:val="000000"/>
          <w:sz w:val="22"/>
          <w:szCs w:val="22"/>
        </w:rPr>
        <w:t>pmdarima</w:t>
      </w:r>
      <w:proofErr w:type="spellEnd"/>
      <w:r w:rsidRPr="00777E11">
        <w:rPr>
          <w:rFonts w:ascii="Arial" w:eastAsia="Arial" w:hAnsi="Arial" w:cs="Arial"/>
          <w:color w:val="000000"/>
          <w:sz w:val="22"/>
          <w:szCs w:val="22"/>
        </w:rPr>
        <w:t xml:space="preserve">, </w:t>
      </w:r>
      <w:proofErr w:type="spellStart"/>
      <w:r w:rsidRPr="00777E11">
        <w:rPr>
          <w:rFonts w:ascii="Arial" w:eastAsia="Arial" w:hAnsi="Arial" w:cs="Arial"/>
          <w:color w:val="000000"/>
          <w:sz w:val="22"/>
          <w:szCs w:val="22"/>
        </w:rPr>
        <w:t>scipy</w:t>
      </w:r>
      <w:proofErr w:type="spellEnd"/>
      <w:r w:rsidRPr="00777E11">
        <w:rPr>
          <w:rFonts w:ascii="Arial" w:eastAsia="Arial" w:hAnsi="Arial" w:cs="Arial"/>
          <w:color w:val="000000"/>
          <w:sz w:val="22"/>
          <w:szCs w:val="22"/>
        </w:rPr>
        <w:t>, seaborn</w:t>
      </w:r>
    </w:p>
    <w:p w14:paraId="12041C5E" w14:textId="77777777" w:rsidR="00777E11" w:rsidRPr="00777E11" w:rsidRDefault="00000000" w:rsidP="00777E11">
      <w:pPr>
        <w:pStyle w:val="ListParagraph"/>
        <w:numPr>
          <w:ilvl w:val="0"/>
          <w:numId w:val="43"/>
        </w:numPr>
        <w:spacing w:before="240" w:after="240"/>
        <w:ind w:right="0"/>
        <w:rPr>
          <w:rFonts w:ascii="Arial" w:eastAsia="Arial" w:hAnsi="Arial" w:cs="Arial"/>
          <w:color w:val="000000"/>
          <w:sz w:val="22"/>
          <w:szCs w:val="22"/>
        </w:rPr>
      </w:pPr>
      <w:r w:rsidRPr="00777E11">
        <w:rPr>
          <w:rFonts w:ascii="Arial" w:eastAsia="Arial" w:hAnsi="Arial" w:cs="Arial"/>
          <w:color w:val="000000"/>
          <w:sz w:val="22"/>
          <w:szCs w:val="22"/>
        </w:rPr>
        <w:t>Data Frequency: Weekly</w:t>
      </w:r>
    </w:p>
    <w:p w14:paraId="247F7E76" w14:textId="143A0CA7" w:rsidR="0058584F" w:rsidRPr="00777E11" w:rsidRDefault="00000000" w:rsidP="00777E11">
      <w:pPr>
        <w:pStyle w:val="ListParagraph"/>
        <w:numPr>
          <w:ilvl w:val="0"/>
          <w:numId w:val="43"/>
        </w:numPr>
        <w:spacing w:before="240" w:after="240"/>
        <w:ind w:right="0"/>
        <w:rPr>
          <w:rFonts w:ascii="Arial" w:eastAsia="Arial" w:hAnsi="Arial" w:cs="Arial"/>
          <w:color w:val="000000"/>
          <w:sz w:val="22"/>
          <w:szCs w:val="22"/>
        </w:rPr>
      </w:pPr>
      <w:r w:rsidRPr="00777E11">
        <w:rPr>
          <w:rFonts w:ascii="Arial" w:eastAsia="Arial" w:hAnsi="Arial" w:cs="Arial"/>
          <w:color w:val="000000"/>
          <w:sz w:val="22"/>
          <w:szCs w:val="22"/>
        </w:rPr>
        <w:t>Analysis Period: Multiple years of weekly observations</w:t>
      </w:r>
    </w:p>
    <w:p w14:paraId="4A23420C" w14:textId="77777777" w:rsidR="0058584F" w:rsidRDefault="0058584F" w:rsidP="005A0A9B">
      <w:pPr>
        <w:jc w:val="both"/>
        <w:rPr>
          <w:rFonts w:ascii="Arial" w:eastAsia="Arial" w:hAnsi="Arial" w:cs="Arial"/>
          <w:b/>
          <w:color w:val="000000"/>
          <w:sz w:val="22"/>
          <w:szCs w:val="22"/>
        </w:rPr>
      </w:pPr>
    </w:p>
    <w:sectPr w:rsidR="005858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embedRegular r:id="rId1" w:fontKey="{324A1078-75AD-4BB6-94F8-7AE071CB0E40}"/>
    <w:embedBold r:id="rId2" w:fontKey="{E261D88B-0B95-4771-B5BC-F677BC80A83D}"/>
  </w:font>
  <w:font w:name="Open Sans">
    <w:charset w:val="00"/>
    <w:family w:val="swiss"/>
    <w:pitch w:val="variable"/>
    <w:sig w:usb0="E00002EF" w:usb1="4000205B" w:usb2="00000028" w:usb3="00000000" w:csb0="0000019F" w:csb1="00000000"/>
    <w:embedRegular r:id="rId3" w:fontKey="{A3DF4BD3-92AB-43C3-A182-6E5623AB3A5A}"/>
    <w:embedBold r:id="rId4" w:fontKey="{8C799CC3-A48C-4A65-B75D-DEC5DA68578C}"/>
  </w:font>
  <w:font w:name="Trebuchet MS">
    <w:panose1 w:val="020B0603020202020204"/>
    <w:charset w:val="00"/>
    <w:family w:val="swiss"/>
    <w:pitch w:val="variable"/>
    <w:sig w:usb0="00000687" w:usb1="00000000" w:usb2="00000000" w:usb3="00000000" w:csb0="0000009F" w:csb1="00000000"/>
    <w:embedRegular r:id="rId5" w:fontKey="{84E5F4B1-44E3-4AB8-A60D-EE0F5AED2841}"/>
    <w:embedItalic r:id="rId6" w:fontKey="{5D8CEB00-42DC-433A-97F6-7311F0C0BFDC}"/>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7" w:fontKey="{74E03555-382A-4118-888B-2736F6ADBB75}"/>
  </w:font>
  <w:font w:name="Calibri">
    <w:panose1 w:val="020F0502020204030204"/>
    <w:charset w:val="00"/>
    <w:family w:val="swiss"/>
    <w:pitch w:val="variable"/>
    <w:sig w:usb0="E4002EFF" w:usb1="C200247B" w:usb2="00000009" w:usb3="00000000" w:csb0="000001FF" w:csb1="00000000"/>
    <w:embedRegular r:id="rId8" w:fontKey="{17F19E0C-3FF7-454A-B200-489B57D7D5AB}"/>
  </w:font>
  <w:font w:name="Cambria">
    <w:panose1 w:val="02040503050406030204"/>
    <w:charset w:val="00"/>
    <w:family w:val="roman"/>
    <w:pitch w:val="variable"/>
    <w:sig w:usb0="E00006FF" w:usb1="420024FF" w:usb2="02000000" w:usb3="00000000" w:csb0="0000019F" w:csb1="00000000"/>
    <w:embedRegular r:id="rId9" w:fontKey="{FE943407-DA42-4E45-BCFB-31B6A3D13F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A30"/>
    <w:multiLevelType w:val="multilevel"/>
    <w:tmpl w:val="0D584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537E0C"/>
    <w:multiLevelType w:val="multilevel"/>
    <w:tmpl w:val="ACD61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B49CE"/>
    <w:multiLevelType w:val="multilevel"/>
    <w:tmpl w:val="75B04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A94846"/>
    <w:multiLevelType w:val="multilevel"/>
    <w:tmpl w:val="BDA62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5A48B4"/>
    <w:multiLevelType w:val="multilevel"/>
    <w:tmpl w:val="D578E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C07AF7"/>
    <w:multiLevelType w:val="multilevel"/>
    <w:tmpl w:val="50E49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A3124"/>
    <w:multiLevelType w:val="multilevel"/>
    <w:tmpl w:val="E2626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9654F7"/>
    <w:multiLevelType w:val="hybridMultilevel"/>
    <w:tmpl w:val="AF888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DE4AF3"/>
    <w:multiLevelType w:val="multilevel"/>
    <w:tmpl w:val="36886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0005C4F"/>
    <w:multiLevelType w:val="multilevel"/>
    <w:tmpl w:val="0B40D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2F1557"/>
    <w:multiLevelType w:val="multilevel"/>
    <w:tmpl w:val="C322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D24D37"/>
    <w:multiLevelType w:val="multilevel"/>
    <w:tmpl w:val="E7262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826B26"/>
    <w:multiLevelType w:val="multilevel"/>
    <w:tmpl w:val="9F200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A21538"/>
    <w:multiLevelType w:val="multilevel"/>
    <w:tmpl w:val="89588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921B29"/>
    <w:multiLevelType w:val="multilevel"/>
    <w:tmpl w:val="57BE7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734B6B"/>
    <w:multiLevelType w:val="multilevel"/>
    <w:tmpl w:val="11D68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EB1557"/>
    <w:multiLevelType w:val="multilevel"/>
    <w:tmpl w:val="A856740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A9659E8"/>
    <w:multiLevelType w:val="multilevel"/>
    <w:tmpl w:val="C7243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0F0326"/>
    <w:multiLevelType w:val="multilevel"/>
    <w:tmpl w:val="E05A5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3F2469"/>
    <w:multiLevelType w:val="multilevel"/>
    <w:tmpl w:val="123A7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A60600"/>
    <w:multiLevelType w:val="multilevel"/>
    <w:tmpl w:val="A5F08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147994"/>
    <w:multiLevelType w:val="multilevel"/>
    <w:tmpl w:val="E42E7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C37BE3"/>
    <w:multiLevelType w:val="hybridMultilevel"/>
    <w:tmpl w:val="F4F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B407B8"/>
    <w:multiLevelType w:val="multilevel"/>
    <w:tmpl w:val="A9FCB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C53F5F"/>
    <w:multiLevelType w:val="multilevel"/>
    <w:tmpl w:val="AA88B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B37305F"/>
    <w:multiLevelType w:val="multilevel"/>
    <w:tmpl w:val="EC262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DE2ABC"/>
    <w:multiLevelType w:val="multilevel"/>
    <w:tmpl w:val="52DE6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062DAD"/>
    <w:multiLevelType w:val="multilevel"/>
    <w:tmpl w:val="0D20C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7D497B"/>
    <w:multiLevelType w:val="multilevel"/>
    <w:tmpl w:val="6FD6C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E14456"/>
    <w:multiLevelType w:val="multilevel"/>
    <w:tmpl w:val="381E4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1E2EEA"/>
    <w:multiLevelType w:val="multilevel"/>
    <w:tmpl w:val="FFD05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714BE2"/>
    <w:multiLevelType w:val="multilevel"/>
    <w:tmpl w:val="9F842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307A8D"/>
    <w:multiLevelType w:val="multilevel"/>
    <w:tmpl w:val="8D86B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621D1B"/>
    <w:multiLevelType w:val="multilevel"/>
    <w:tmpl w:val="95EC2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6C1A24"/>
    <w:multiLevelType w:val="multilevel"/>
    <w:tmpl w:val="0A604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463F08"/>
    <w:multiLevelType w:val="multilevel"/>
    <w:tmpl w:val="98AEB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4D1642"/>
    <w:multiLevelType w:val="multilevel"/>
    <w:tmpl w:val="2CDEA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D62256"/>
    <w:multiLevelType w:val="multilevel"/>
    <w:tmpl w:val="D292B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27D6784"/>
    <w:multiLevelType w:val="multilevel"/>
    <w:tmpl w:val="1C043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666886"/>
    <w:multiLevelType w:val="multilevel"/>
    <w:tmpl w:val="4CFA7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374262"/>
    <w:multiLevelType w:val="multilevel"/>
    <w:tmpl w:val="FC863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B4D0E6E"/>
    <w:multiLevelType w:val="multilevel"/>
    <w:tmpl w:val="70FE6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2C1D5F"/>
    <w:multiLevelType w:val="multilevel"/>
    <w:tmpl w:val="DFD0E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409829">
    <w:abstractNumId w:val="29"/>
  </w:num>
  <w:num w:numId="2" w16cid:durableId="1583293555">
    <w:abstractNumId w:val="19"/>
  </w:num>
  <w:num w:numId="3" w16cid:durableId="373504878">
    <w:abstractNumId w:val="42"/>
  </w:num>
  <w:num w:numId="4" w16cid:durableId="1253204329">
    <w:abstractNumId w:val="24"/>
  </w:num>
  <w:num w:numId="5" w16cid:durableId="1924797840">
    <w:abstractNumId w:val="9"/>
  </w:num>
  <w:num w:numId="6" w16cid:durableId="1853841577">
    <w:abstractNumId w:val="1"/>
  </w:num>
  <w:num w:numId="7" w16cid:durableId="705563187">
    <w:abstractNumId w:val="34"/>
  </w:num>
  <w:num w:numId="8" w16cid:durableId="1252590620">
    <w:abstractNumId w:val="5"/>
  </w:num>
  <w:num w:numId="9" w16cid:durableId="1092552765">
    <w:abstractNumId w:val="16"/>
  </w:num>
  <w:num w:numId="10" w16cid:durableId="522941557">
    <w:abstractNumId w:val="21"/>
  </w:num>
  <w:num w:numId="11" w16cid:durableId="1434596331">
    <w:abstractNumId w:val="41"/>
  </w:num>
  <w:num w:numId="12" w16cid:durableId="63602369">
    <w:abstractNumId w:val="33"/>
  </w:num>
  <w:num w:numId="13" w16cid:durableId="167410818">
    <w:abstractNumId w:val="35"/>
  </w:num>
  <w:num w:numId="14" w16cid:durableId="475414557">
    <w:abstractNumId w:val="36"/>
  </w:num>
  <w:num w:numId="15" w16cid:durableId="1300921159">
    <w:abstractNumId w:val="3"/>
  </w:num>
  <w:num w:numId="16" w16cid:durableId="100685712">
    <w:abstractNumId w:val="37"/>
  </w:num>
  <w:num w:numId="17" w16cid:durableId="780730478">
    <w:abstractNumId w:val="28"/>
  </w:num>
  <w:num w:numId="18" w16cid:durableId="534543583">
    <w:abstractNumId w:val="31"/>
  </w:num>
  <w:num w:numId="19" w16cid:durableId="1204832892">
    <w:abstractNumId w:val="17"/>
  </w:num>
  <w:num w:numId="20" w16cid:durableId="1126507738">
    <w:abstractNumId w:val="4"/>
  </w:num>
  <w:num w:numId="21" w16cid:durableId="1782912974">
    <w:abstractNumId w:val="12"/>
  </w:num>
  <w:num w:numId="22" w16cid:durableId="1897205163">
    <w:abstractNumId w:val="25"/>
  </w:num>
  <w:num w:numId="23" w16cid:durableId="1467549069">
    <w:abstractNumId w:val="14"/>
  </w:num>
  <w:num w:numId="24" w16cid:durableId="1030302440">
    <w:abstractNumId w:val="13"/>
  </w:num>
  <w:num w:numId="25" w16cid:durableId="45688634">
    <w:abstractNumId w:val="26"/>
  </w:num>
  <w:num w:numId="26" w16cid:durableId="144275739">
    <w:abstractNumId w:val="2"/>
  </w:num>
  <w:num w:numId="27" w16cid:durableId="681712188">
    <w:abstractNumId w:val="39"/>
  </w:num>
  <w:num w:numId="28" w16cid:durableId="736634220">
    <w:abstractNumId w:val="6"/>
  </w:num>
  <w:num w:numId="29" w16cid:durableId="350451295">
    <w:abstractNumId w:val="0"/>
  </w:num>
  <w:num w:numId="30" w16cid:durableId="1971863649">
    <w:abstractNumId w:val="18"/>
  </w:num>
  <w:num w:numId="31" w16cid:durableId="349533691">
    <w:abstractNumId w:val="40"/>
  </w:num>
  <w:num w:numId="32" w16cid:durableId="1110784209">
    <w:abstractNumId w:val="11"/>
  </w:num>
  <w:num w:numId="33" w16cid:durableId="997615396">
    <w:abstractNumId w:val="15"/>
  </w:num>
  <w:num w:numId="34" w16cid:durableId="964695175">
    <w:abstractNumId w:val="8"/>
  </w:num>
  <w:num w:numId="35" w16cid:durableId="1460995526">
    <w:abstractNumId w:val="23"/>
  </w:num>
  <w:num w:numId="36" w16cid:durableId="843546320">
    <w:abstractNumId w:val="30"/>
  </w:num>
  <w:num w:numId="37" w16cid:durableId="1293558503">
    <w:abstractNumId w:val="10"/>
  </w:num>
  <w:num w:numId="38" w16cid:durableId="898515410">
    <w:abstractNumId w:val="20"/>
  </w:num>
  <w:num w:numId="39" w16cid:durableId="546916409">
    <w:abstractNumId w:val="32"/>
  </w:num>
  <w:num w:numId="40" w16cid:durableId="1813669078">
    <w:abstractNumId w:val="27"/>
  </w:num>
  <w:num w:numId="41" w16cid:durableId="196158569">
    <w:abstractNumId w:val="38"/>
  </w:num>
  <w:num w:numId="42" w16cid:durableId="1489249176">
    <w:abstractNumId w:val="22"/>
  </w:num>
  <w:num w:numId="43" w16cid:durableId="17817545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84F"/>
    <w:rsid w:val="00183EA9"/>
    <w:rsid w:val="0058584F"/>
    <w:rsid w:val="005A0A9B"/>
    <w:rsid w:val="00777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4366"/>
  <w15:docId w15:val="{703941B5-1120-4373-ACFD-D6284053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en" w:eastAsia="en-IN"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uiPriority w:val="9"/>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777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rbi.org.in/"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5BDFE-24EC-40DB-8355-8DDBC503A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3576</Words>
  <Characters>20389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Aneerban Chowdhury</cp:lastModifiedBy>
  <cp:revision>2</cp:revision>
  <dcterms:created xsi:type="dcterms:W3CDTF">2025-11-08T10:59:00Z</dcterms:created>
  <dcterms:modified xsi:type="dcterms:W3CDTF">2025-11-08T11:16:00Z</dcterms:modified>
</cp:coreProperties>
</file>