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40"/>
          <w:szCs w:val="40"/>
        </w:rPr>
        <w:t xml:space="preserve">Academic Grounding &amp; Subject Mapping</w:t>
      </w:r>
    </w:p>
    <w:p>
      <w:pPr>
        <w:spacing w:after="60"/>
        <w:jc w:val="center"/>
      </w:pPr>
      <w:r>
        <w:rPr>
          <w:rFonts w:ascii="Calibri" w:cs="Calibri" w:eastAsia="Calibri" w:hAnsi="Calibri"/>
          <w:sz w:val="24"/>
          <w:szCs w:val="24"/>
        </w:rPr>
        <w:t xml:space="preserve">Repo-Up: Repository Intelligence System with Verifiable Code Provenance</w:t>
      </w:r>
    </w:p>
    <w:p>
      <w:pPr>
        <w:spacing w:after="240"/>
        <w:jc w:val="center"/>
      </w:pPr>
      <w:r>
        <w:rPr>
          <w:rFonts w:ascii="Calibri" w:cs="Calibri" w:eastAsia="Calibri" w:hAnsi="Calibri"/>
          <w:color w:val="595959"/>
          <w:sz w:val="21"/>
          <w:szCs w:val="21"/>
        </w:rPr>
        <w:t xml:space="preserve">Department of Computer Engineering, Sardar Patel Institute of Technology, Mumbai</w:t>
      </w:r>
    </w:p>
    <w:p>
      <w:pPr>
        <w:pStyle w:val="Heading1"/>
        <w:spacing w:after="140" w:before="300"/>
      </w:pPr>
      <w:r>
        <w:rPr>
          <w:rFonts w:ascii="Calibri" w:cs="Calibri" w:eastAsia="Calibri" w:hAnsi="Calibri"/>
          <w:b/>
          <w:bCs/>
          <w:sz w:val="30"/>
          <w:szCs w:val="30"/>
        </w:rPr>
        <w:t xml:space="preserve">1.  Overview</w:t>
      </w:r>
    </w:p>
    <w:p>
      <w:pPr>
        <w:spacing w:after="120" w:line="300"/>
      </w:pPr>
      <w:r>
        <w:rPr>
          <w:rFonts w:ascii="Calibri" w:cs="Calibri" w:eastAsia="Calibri" w:hAnsi="Calibri"/>
          <w:sz w:val="22"/>
          <w:szCs w:val="22"/>
        </w:rPr>
        <w:t xml:space="preserve">Repo-Up is more than a standalone tool. It puts into practice ideas from several core courses in our Computer Engineering curriculum. This document maps each course to the specific concept we applied and to the part of the codebase where it appears.</w:t>
      </w:r>
    </w:p>
    <w:p>
      <w:pPr>
        <w:pStyle w:val="Heading1"/>
        <w:spacing w:after="140" w:before="300"/>
      </w:pPr>
      <w:r>
        <w:rPr>
          <w:rFonts w:ascii="Calibri" w:cs="Calibri" w:eastAsia="Calibri" w:hAnsi="Calibri"/>
          <w:b/>
          <w:bCs/>
          <w:sz w:val="30"/>
          <w:szCs w:val="30"/>
        </w:rPr>
        <w:t xml:space="preserve">2.  Subject Mapping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6"/>
      </w:tblGrid>
      <w:tr>
        <w:trPr>
          <w:tblHeader/>
        </w:trPr>
        <w:tc>
          <w:tcPr>
            <w:tcW w:type="dxa" w:w="1900"/>
            <w:tcBorders>
              <w:top w:val="single" w:color="BFBFBF" w:sz="4"/>
              <w:left w:val="single" w:color="BFBFBF" w:sz="4"/>
              <w:bottom w:val="single" w:color="BFBFBF" w:sz="4"/>
              <w:right w:val="single" w:color="BFBFBF" w:sz="4"/>
            </w:tcBorders>
            <w:shd w:fill="1F3A5F" w:color="auto" w:val="clear"/>
            <w:tcMar>
              <w:top w:type="dxa" w:w="80"/>
              <w:left w:type="dxa" w:w="110"/>
              <w:bottom w:type="dxa" w:w="80"/>
              <w:right w:type="dxa" w:w="110"/>
            </w:tcMar>
          </w:tcPr>
          <w:p>
            <w:r>
              <w:rPr>
                <w:rFonts w:ascii="Calibri" w:cs="Calibri" w:eastAsia="Calibri" w:hAnsi="Calibri"/>
                <w:b/>
                <w:bCs/>
                <w:color w:val="FFFFFF"/>
                <w:sz w:val="21"/>
                <w:szCs w:val="21"/>
              </w:rPr>
              <w:t xml:space="preserve">Course</w:t>
            </w:r>
          </w:p>
        </w:tc>
        <w:tc>
          <w:tcPr>
            <w:tcW w:type="dxa" w:w="2700"/>
            <w:tcBorders>
              <w:top w:val="single" w:color="BFBFBF" w:sz="4"/>
              <w:left w:val="single" w:color="BFBFBF" w:sz="4"/>
              <w:bottom w:val="single" w:color="BFBFBF" w:sz="4"/>
              <w:right w:val="single" w:color="BFBFBF" w:sz="4"/>
            </w:tcBorders>
            <w:shd w:fill="1F3A5F" w:color="auto" w:val="clear"/>
            <w:tcMar>
              <w:top w:type="dxa" w:w="80"/>
              <w:left w:type="dxa" w:w="110"/>
              <w:bottom w:type="dxa" w:w="80"/>
              <w:right w:type="dxa" w:w="110"/>
            </w:tcMar>
          </w:tcPr>
          <w:p>
            <w:r>
              <w:rPr>
                <w:rFonts w:ascii="Calibri" w:cs="Calibri" w:eastAsia="Calibri" w:hAnsi="Calibri"/>
                <w:b/>
                <w:bCs/>
                <w:color w:val="FFFFFF"/>
                <w:sz w:val="21"/>
                <w:szCs w:val="21"/>
              </w:rPr>
              <w:t xml:space="preserve">Concept Applied</w:t>
            </w:r>
          </w:p>
        </w:tc>
        <w:tc>
          <w:tcPr>
            <w:tcW w:type="dxa" w:w="4426"/>
            <w:tcBorders>
              <w:top w:val="single" w:color="BFBFBF" w:sz="4"/>
              <w:left w:val="single" w:color="BFBFBF" w:sz="4"/>
              <w:bottom w:val="single" w:color="BFBFBF" w:sz="4"/>
              <w:right w:val="single" w:color="BFBFBF" w:sz="4"/>
            </w:tcBorders>
            <w:shd w:fill="1F3A5F" w:color="auto" w:val="clear"/>
            <w:tcMar>
              <w:top w:type="dxa" w:w="80"/>
              <w:left w:type="dxa" w:w="110"/>
              <w:bottom w:type="dxa" w:w="80"/>
              <w:right w:type="dxa" w:w="110"/>
            </w:tcMar>
          </w:tcPr>
          <w:p>
            <w:r>
              <w:rPr>
                <w:rFonts w:ascii="Calibri" w:cs="Calibri" w:eastAsia="Calibri" w:hAnsi="Calibri"/>
                <w:b/>
                <w:bCs/>
                <w:color w:val="FFFFFF"/>
                <w:sz w:val="21"/>
                <w:szCs w:val="21"/>
              </w:rPr>
              <w:t xml:space="preserve">Where It Is Implemented in Repo-Up</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rPr>
                <w:rFonts w:ascii="Calibri" w:cs="Calibri" w:eastAsia="Calibri" w:hAnsi="Calibri"/>
                <w:b/>
                <w:bCs/>
                <w:sz w:val="21"/>
                <w:szCs w:val="21"/>
              </w:rPr>
              <w:t xml:space="preserve">CE201 — Discrete Structures &amp; Graph Theory</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rPr>
                <w:rFonts w:ascii="Calibri" w:cs="Calibri" w:eastAsia="Calibri" w:hAnsi="Calibri"/>
                <w:sz w:val="21"/>
                <w:szCs w:val="21"/>
              </w:rPr>
              <w:t xml:space="preserve">Directed graph modeling; in-degree and out-degree analysis; cycle detection.</w:t>
            </w:r>
          </w:p>
        </w:tc>
        <w:tc>
          <w:tcPr>
            <w:tcW w:type="dxa" w:w="44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rPr>
                <w:rFonts w:ascii="Consolas" w:cs="Consolas" w:eastAsia="Consolas" w:hAnsi="Consolas"/>
                <w:b/>
                <w:bCs/>
                <w:sz w:val="19"/>
                <w:szCs w:val="19"/>
              </w:rPr>
              <w:t xml:space="preserve">backend/services/graph_service.py</w:t>
            </w:r>
          </w:p>
          <w:p>
            <w:pPr>
              <w:spacing w:after="60"/>
            </w:pPr>
            <w:r>
              <w:rPr>
                <w:rFonts w:ascii="Consolas" w:cs="Consolas" w:eastAsia="Consolas" w:hAnsi="Consolas"/>
                <w:b/>
                <w:bCs/>
                <w:sz w:val="19"/>
                <w:szCs w:val="19"/>
              </w:rPr>
              <w:t xml:space="preserve">backend/analysis/metrics/</w:t>
            </w:r>
          </w:p>
          <w:p>
            <w:pPr>
              <w:spacing w:after="60"/>
            </w:pPr>
            <w:r>
              <w:rPr>
                <w:rFonts w:ascii="Calibri" w:cs="Calibri" w:eastAsia="Calibri" w:hAnsi="Calibri"/>
                <w:sz w:val="21"/>
                <w:szCs w:val="21"/>
              </w:rPr>
              <w:t xml:space="preserve">The uploaded repository is modeled as a directed graph using networkx, with files as nodes and imports as edges. The graph is used to calculate Afferent Couplings (in-degree) and to detect harmful circular dependencies.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rPr>
                <w:rFonts w:ascii="Calibri" w:cs="Calibri" w:eastAsia="Calibri" w:hAnsi="Calibri"/>
                <w:b/>
                <w:bCs/>
                <w:sz w:val="21"/>
                <w:szCs w:val="21"/>
              </w:rPr>
              <w:t xml:space="preserve">CE202 — Data Structures</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rPr>
                <w:rFonts w:ascii="Calibri" w:cs="Calibri" w:eastAsia="Calibri" w:hAnsi="Calibri"/>
                <w:sz w:val="21"/>
                <w:szCs w:val="21"/>
              </w:rPr>
              <w:t xml:space="preserve">Abstract Syntax Trees; adjacency lists; hash tables (dictionaries).</w:t>
            </w:r>
          </w:p>
        </w:tc>
        <w:tc>
          <w:tcPr>
            <w:tcW w:type="dxa" w:w="44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rPr>
                <w:rFonts w:ascii="Consolas" w:cs="Consolas" w:eastAsia="Consolas" w:hAnsi="Consolas"/>
                <w:b/>
                <w:bCs/>
                <w:sz w:val="19"/>
                <w:szCs w:val="19"/>
              </w:rPr>
              <w:t xml:space="preserve">backend/analysis/parsing/ast_parser.py</w:t>
            </w:r>
          </w:p>
          <w:p>
            <w:pPr>
              <w:spacing w:after="60"/>
            </w:pPr>
            <w:r>
              <w:rPr>
                <w:rFonts w:ascii="Calibri" w:cs="Calibri" w:eastAsia="Calibri" w:hAnsi="Calibri"/>
                <w:sz w:val="21"/>
                <w:szCs w:val="21"/>
              </w:rPr>
              <w:t xml:space="preserve">Tree-sitter parses multi-language source code into ASTs for deep structural checks. The networkx graph is stored as an adjacency list. Python dictionaries (hash tables) give O(1) rule lookup in rule_registry.py and power in-memory session tracking.</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rPr>
                <w:rFonts w:ascii="Calibri" w:cs="Calibri" w:eastAsia="Calibri" w:hAnsi="Calibri"/>
                <w:b/>
                <w:bCs/>
                <w:sz w:val="21"/>
                <w:szCs w:val="21"/>
              </w:rPr>
              <w:t xml:space="preserve">CE204 — Database Management</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rPr>
                <w:rFonts w:ascii="Calibri" w:cs="Calibri" w:eastAsia="Calibri" w:hAnsi="Calibri"/>
                <w:sz w:val="21"/>
                <w:szCs w:val="21"/>
              </w:rPr>
              <w:t xml:space="preserve">Ephemeral file storage; session isolation; key-value semantics; JSON stores.</w:t>
            </w:r>
          </w:p>
        </w:tc>
        <w:tc>
          <w:tcPr>
            <w:tcW w:type="dxa" w:w="44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rPr>
                <w:rFonts w:ascii="Consolas" w:cs="Consolas" w:eastAsia="Consolas" w:hAnsi="Consolas"/>
                <w:b/>
                <w:bCs/>
                <w:sz w:val="19"/>
                <w:szCs w:val="19"/>
              </w:rPr>
              <w:t xml:space="preserve">backend/services/upload_service.py</w:t>
            </w:r>
          </w:p>
          <w:p>
            <w:pPr>
              <w:spacing w:after="60"/>
            </w:pPr>
            <w:r>
              <w:rPr>
                <w:rFonts w:ascii="Calibri" w:cs="Calibri" w:eastAsia="Calibri" w:hAnsi="Calibri"/>
                <w:sz w:val="21"/>
                <w:szCs w:val="21"/>
              </w:rPr>
              <w:t xml:space="preserve">Instead of a full database server, we use an ephemeral, file-based store. Isolated temporary workspaces are mapped to UUIDs (session IDs) and behave like a key-value store, with automated garbage collection that deletes stale sessions.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rPr>
                <w:rFonts w:ascii="Calibri" w:cs="Calibri" w:eastAsia="Calibri" w:hAnsi="Calibri"/>
                <w:b/>
                <w:bCs/>
                <w:sz w:val="21"/>
                <w:szCs w:val="21"/>
              </w:rPr>
              <w:t xml:space="preserve">CE207 — Design and Analysis of Algorithms</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rPr>
                <w:rFonts w:ascii="Calibri" w:cs="Calibri" w:eastAsia="Calibri" w:hAnsi="Calibri"/>
                <w:sz w:val="21"/>
                <w:szCs w:val="21"/>
              </w:rPr>
              <w:t xml:space="preserve">Tarjan's Strongly Connected Components (SCC) algorithm; O(V+E) complexity analysis.</w:t>
            </w:r>
          </w:p>
        </w:tc>
        <w:tc>
          <w:tcPr>
            <w:tcW w:type="dxa" w:w="44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rPr>
                <w:rFonts w:ascii="Consolas" w:cs="Consolas" w:eastAsia="Consolas" w:hAnsi="Consolas"/>
                <w:b/>
                <w:bCs/>
                <w:sz w:val="19"/>
                <w:szCs w:val="19"/>
              </w:rPr>
              <w:t xml:space="preserve">backend/analysis/metrics/graph_metrics.py</w:t>
            </w:r>
          </w:p>
          <w:p>
            <w:pPr>
              <w:spacing w:after="60"/>
            </w:pPr>
            <w:r>
              <w:rPr>
                <w:rFonts w:ascii="Calibri" w:cs="Calibri" w:eastAsia="Calibri" w:hAnsi="Calibri"/>
                <w:sz w:val="21"/>
                <w:szCs w:val="21"/>
              </w:rPr>
              <w:t xml:space="preserve">Circular dependency detection (detect_circular_dependencies) uses Tarjan's SCC algorithm, so finding import loops in large codebases runs in O(V+E) time.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rPr>
                <w:rFonts w:ascii="Calibri" w:cs="Calibri" w:eastAsia="Calibri" w:hAnsi="Calibri"/>
                <w:b/>
                <w:bCs/>
                <w:sz w:val="21"/>
                <w:szCs w:val="21"/>
              </w:rPr>
              <w:t xml:space="preserve">CE302 — Software Engineering</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rPr>
                <w:rFonts w:ascii="Calibri" w:cs="Calibri" w:eastAsia="Calibri" w:hAnsi="Calibri"/>
                <w:sz w:val="21"/>
                <w:szCs w:val="21"/>
              </w:rPr>
              <w:t xml:space="preserve">ISO/IEC 25010 quality model; CK object-oriented metrics; automated CI/CD-style verification.</w:t>
            </w:r>
          </w:p>
        </w:tc>
        <w:tc>
          <w:tcPr>
            <w:tcW w:type="dxa" w:w="44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rPr>
                <w:rFonts w:ascii="Consolas" w:cs="Consolas" w:eastAsia="Consolas" w:hAnsi="Consolas"/>
                <w:b/>
                <w:bCs/>
                <w:sz w:val="19"/>
                <w:szCs w:val="19"/>
              </w:rPr>
              <w:t xml:space="preserve">backend/analysis/scorer.py</w:t>
            </w:r>
          </w:p>
          <w:p>
            <w:pPr>
              <w:spacing w:after="60"/>
            </w:pPr>
            <w:r>
              <w:rPr>
                <w:rFonts w:ascii="Consolas" w:cs="Consolas" w:eastAsia="Consolas" w:hAnsi="Consolas"/>
                <w:b/>
                <w:bCs/>
                <w:sz w:val="19"/>
                <w:szCs w:val="19"/>
              </w:rPr>
              <w:t xml:space="preserve">backend/verification/</w:t>
            </w:r>
          </w:p>
          <w:p>
            <w:pPr>
              <w:spacing w:after="60"/>
            </w:pPr>
            <w:r>
              <w:rPr>
                <w:rFonts w:ascii="Calibri" w:cs="Calibri" w:eastAsia="Calibri" w:hAnsi="Calibri"/>
                <w:sz w:val="21"/>
                <w:szCs w:val="21"/>
              </w:rPr>
              <w:t xml:space="preserve">The scorer applies an ISO/IEC 25010 rubric (Modularity, Analysability, Modifiability, Testability) and computes real metrics such as Depth of Inheritance (DIT) and Coupling Factor (COF). A sandbox verification pipeline acts like an automated CI/CD gate for auto-fixing code.</w:t>
            </w:r>
          </w:p>
        </w:tc>
      </w:tr>
    </w:tbl>
    <w:p>
      <w:pPr>
        <w:spacing w:after="80"/>
      </w:pPr>
      <w:r>
        <w:rPr>
          <w:rFonts w:ascii="Calibri" w:cs="Calibri" w:eastAsia="Calibri" w:hAnsi="Calibri"/>
          <w:sz w:val="22"/>
          <w:szCs w:val="22"/>
        </w:rPr>
        <w:t xml:space="preserve"/>
      </w:r>
    </w:p>
    <w:p>
      <w:pPr>
        <w:pStyle w:val="Heading1"/>
        <w:spacing w:after="140" w:before="300"/>
      </w:pPr>
      <w:r>
        <w:rPr>
          <w:rFonts w:ascii="Calibri" w:cs="Calibri" w:eastAsia="Calibri" w:hAnsi="Calibri"/>
          <w:b/>
          <w:bCs/>
          <w:sz w:val="30"/>
          <w:szCs w:val="30"/>
        </w:rPr>
        <w:t xml:space="preserve">3.  Course-by-Course Notes</w:t>
      </w:r>
    </w:p>
    <w:p>
      <w:pPr>
        <w:pStyle w:val="Heading2"/>
        <w:spacing w:after="100" w:before="220"/>
      </w:pPr>
      <w:r>
        <w:rPr>
          <w:rFonts w:ascii="Calibri" w:cs="Calibri" w:eastAsia="Calibri" w:hAnsi="Calibri"/>
          <w:b/>
          <w:bCs/>
          <w:sz w:val="25"/>
          <w:szCs w:val="25"/>
        </w:rPr>
        <w:t xml:space="preserve">CE201: Discrete Structures &amp; Graph Theory</w:t>
      </w:r>
    </w:p>
    <w:p>
      <w:pPr>
        <w:pStyle w:val="ListParagraph"/>
        <w:numPr>
          <w:ilvl w:val="0"/>
          <w:numId w:val="2"/>
        </w:numPr>
        <w:spacing w:after="60"/>
      </w:pPr>
      <w:r>
        <w:rPr>
          <w:rFonts w:ascii="Calibri" w:cs="Calibri" w:eastAsia="Calibri" w:hAnsi="Calibri"/>
          <w:sz w:val="22"/>
          <w:szCs w:val="22"/>
        </w:rPr>
        <w:t xml:space="preserve">Files are vertices and import relationships are directed edges, so the whole repository becomes a directed graph.</w:t>
      </w:r>
    </w:p>
    <w:p>
      <w:pPr>
        <w:pStyle w:val="ListParagraph"/>
        <w:numPr>
          <w:ilvl w:val="0"/>
          <w:numId w:val="2"/>
        </w:numPr>
        <w:spacing w:after="60"/>
      </w:pPr>
      <w:r>
        <w:rPr>
          <w:rFonts w:ascii="Calibri" w:cs="Calibri" w:eastAsia="Calibri" w:hAnsi="Calibri"/>
          <w:sz w:val="22"/>
          <w:szCs w:val="22"/>
        </w:rPr>
        <w:t xml:space="preserve">In-degree gives Afferent Couplings (how many files depend on a given file); out-degree shows how many files it depends on.</w:t>
      </w:r>
    </w:p>
    <w:p>
      <w:pPr>
        <w:pStyle w:val="ListParagraph"/>
        <w:numPr>
          <w:ilvl w:val="0"/>
          <w:numId w:val="2"/>
        </w:numPr>
        <w:spacing w:after="60"/>
      </w:pPr>
      <w:r>
        <w:rPr>
          <w:rFonts w:ascii="Calibri" w:cs="Calibri" w:eastAsia="Calibri" w:hAnsi="Calibri"/>
          <w:sz w:val="22"/>
          <w:szCs w:val="22"/>
        </w:rPr>
        <w:t xml:space="preserve">A cycle in this graph is a circular dependency, which we flag as a structural issue.</w:t>
      </w:r>
    </w:p>
    <w:p>
      <w:pPr>
        <w:pStyle w:val="Heading2"/>
        <w:spacing w:after="100" w:before="220"/>
      </w:pPr>
      <w:r>
        <w:rPr>
          <w:rFonts w:ascii="Calibri" w:cs="Calibri" w:eastAsia="Calibri" w:hAnsi="Calibri"/>
          <w:b/>
          <w:bCs/>
          <w:sz w:val="25"/>
          <w:szCs w:val="25"/>
        </w:rPr>
        <w:t xml:space="preserve">CE202: Data Structures</w:t>
      </w:r>
    </w:p>
    <w:p>
      <w:pPr>
        <w:pStyle w:val="ListParagraph"/>
        <w:numPr>
          <w:ilvl w:val="0"/>
          <w:numId w:val="2"/>
        </w:numPr>
        <w:spacing w:after="60"/>
      </w:pPr>
      <w:r>
        <w:rPr>
          <w:rFonts w:ascii="Calibri" w:cs="Calibri" w:eastAsia="Calibri" w:hAnsi="Calibri"/>
          <w:sz w:val="22"/>
          <w:szCs w:val="22"/>
        </w:rPr>
        <w:t xml:space="preserve">Abstract Syntax Trees represent the structure of each source file and are produced by Tree-sitter.</w:t>
      </w:r>
    </w:p>
    <w:p>
      <w:pPr>
        <w:pStyle w:val="ListParagraph"/>
        <w:numPr>
          <w:ilvl w:val="0"/>
          <w:numId w:val="2"/>
        </w:numPr>
        <w:spacing w:after="60"/>
      </w:pPr>
      <w:r>
        <w:rPr>
          <w:rFonts w:ascii="Calibri" w:cs="Calibri" w:eastAsia="Calibri" w:hAnsi="Calibri"/>
          <w:sz w:val="22"/>
          <w:szCs w:val="22"/>
        </w:rPr>
        <w:t xml:space="preserve">The dependency graph is held as an adjacency list, which suits the sparse graphs typical of real repositories.</w:t>
      </w:r>
    </w:p>
    <w:p>
      <w:pPr>
        <w:pStyle w:val="ListParagraph"/>
        <w:numPr>
          <w:ilvl w:val="0"/>
          <w:numId w:val="2"/>
        </w:numPr>
        <w:spacing w:after="60"/>
      </w:pPr>
      <w:r>
        <w:rPr>
          <w:rFonts w:ascii="Calibri" w:cs="Calibri" w:eastAsia="Calibri" w:hAnsi="Calibri"/>
          <w:sz w:val="22"/>
          <w:szCs w:val="22"/>
        </w:rPr>
        <w:t xml:space="preserve">Hash tables (dictionaries) provide constant-time rule lookup and quick access to in-memory session state.</w:t>
      </w:r>
    </w:p>
    <w:p>
      <w:pPr>
        <w:pStyle w:val="Heading2"/>
        <w:spacing w:after="100" w:before="220"/>
      </w:pPr>
      <w:r>
        <w:rPr>
          <w:rFonts w:ascii="Calibri" w:cs="Calibri" w:eastAsia="Calibri" w:hAnsi="Calibri"/>
          <w:b/>
          <w:bCs/>
          <w:sz w:val="25"/>
          <w:szCs w:val="25"/>
        </w:rPr>
        <w:t xml:space="preserve">CE204: Database Management</w:t>
      </w:r>
    </w:p>
    <w:p>
      <w:pPr>
        <w:pStyle w:val="ListParagraph"/>
        <w:numPr>
          <w:ilvl w:val="0"/>
          <w:numId w:val="2"/>
        </w:numPr>
        <w:spacing w:after="60"/>
      </w:pPr>
      <w:r>
        <w:rPr>
          <w:rFonts w:ascii="Calibri" w:cs="Calibri" w:eastAsia="Calibri" w:hAnsi="Calibri"/>
          <w:sz w:val="22"/>
          <w:szCs w:val="22"/>
        </w:rPr>
        <w:t xml:space="preserve">Each analysis session has a UUID that acts as its key, and the value is an isolated workspace with its results.</w:t>
      </w:r>
    </w:p>
    <w:p>
      <w:pPr>
        <w:pStyle w:val="ListParagraph"/>
        <w:numPr>
          <w:ilvl w:val="0"/>
          <w:numId w:val="2"/>
        </w:numPr>
        <w:spacing w:after="60"/>
      </w:pPr>
      <w:r>
        <w:rPr>
          <w:rFonts w:ascii="Calibri" w:cs="Calibri" w:eastAsia="Calibri" w:hAnsi="Calibri"/>
          <w:sz w:val="22"/>
          <w:szCs w:val="22"/>
        </w:rPr>
        <w:t xml:space="preserve">Session isolation prevents one user's data from mixing with another's.</w:t>
      </w:r>
    </w:p>
    <w:p>
      <w:pPr>
        <w:pStyle w:val="ListParagraph"/>
        <w:numPr>
          <w:ilvl w:val="0"/>
          <w:numId w:val="2"/>
        </w:numPr>
        <w:spacing w:after="60"/>
      </w:pPr>
      <w:r>
        <w:rPr>
          <w:rFonts w:ascii="Calibri" w:cs="Calibri" w:eastAsia="Calibri" w:hAnsi="Calibri"/>
          <w:sz w:val="22"/>
          <w:szCs w:val="22"/>
        </w:rPr>
        <w:t xml:space="preserve">Automated garbage collection removes stale sessions, which plays the role of data lifecycle management.</w:t>
      </w:r>
    </w:p>
    <w:p>
      <w:pPr>
        <w:pStyle w:val="Heading2"/>
        <w:spacing w:after="100" w:before="220"/>
      </w:pPr>
      <w:r>
        <w:rPr>
          <w:rFonts w:ascii="Calibri" w:cs="Calibri" w:eastAsia="Calibri" w:hAnsi="Calibri"/>
          <w:b/>
          <w:bCs/>
          <w:sz w:val="25"/>
          <w:szCs w:val="25"/>
        </w:rPr>
        <w:t xml:space="preserve">CE207: Design and Analysis of Algorithms</w:t>
      </w:r>
    </w:p>
    <w:p>
      <w:pPr>
        <w:pStyle w:val="ListParagraph"/>
        <w:numPr>
          <w:ilvl w:val="0"/>
          <w:numId w:val="2"/>
        </w:numPr>
        <w:spacing w:after="60"/>
      </w:pPr>
      <w:r>
        <w:rPr>
          <w:rFonts w:ascii="Calibri" w:cs="Calibri" w:eastAsia="Calibri" w:hAnsi="Calibri"/>
          <w:sz w:val="22"/>
          <w:szCs w:val="22"/>
        </w:rPr>
        <w:t xml:space="preserve">Tarjan's algorithm finds strongly connected components in a single depth-first traversal.</w:t>
      </w:r>
    </w:p>
    <w:p>
      <w:pPr>
        <w:pStyle w:val="ListParagraph"/>
        <w:numPr>
          <w:ilvl w:val="0"/>
          <w:numId w:val="2"/>
        </w:numPr>
        <w:spacing w:after="60"/>
      </w:pPr>
      <w:r>
        <w:rPr>
          <w:rFonts w:ascii="Calibri" w:cs="Calibri" w:eastAsia="Calibri" w:hAnsi="Calibri"/>
          <w:sz w:val="22"/>
          <w:szCs w:val="22"/>
        </w:rPr>
        <w:t xml:space="preserve">Its running time is O(V+E), where V is the number of files and E the number of import edges, so it scales to large repositories.</w:t>
      </w:r>
    </w:p>
    <w:p>
      <w:pPr>
        <w:pStyle w:val="ListParagraph"/>
        <w:numPr>
          <w:ilvl w:val="0"/>
          <w:numId w:val="2"/>
        </w:numPr>
        <w:spacing w:after="60"/>
      </w:pPr>
      <w:r>
        <w:rPr>
          <w:rFonts w:ascii="Calibri" w:cs="Calibri" w:eastAsia="Calibri" w:hAnsi="Calibri"/>
          <w:sz w:val="22"/>
          <w:szCs w:val="22"/>
        </w:rPr>
        <w:t xml:space="preserve">Any component with more than one node is reported as a circular dependency.</w:t>
      </w:r>
    </w:p>
    <w:p>
      <w:pPr>
        <w:pStyle w:val="Heading2"/>
        <w:spacing w:after="100" w:before="220"/>
      </w:pPr>
      <w:r>
        <w:rPr>
          <w:rFonts w:ascii="Calibri" w:cs="Calibri" w:eastAsia="Calibri" w:hAnsi="Calibri"/>
          <w:b/>
          <w:bCs/>
          <w:sz w:val="25"/>
          <w:szCs w:val="25"/>
        </w:rPr>
        <w:t xml:space="preserve">CE302: Software Engineering</w:t>
      </w:r>
    </w:p>
    <w:p>
      <w:pPr>
        <w:pStyle w:val="ListParagraph"/>
        <w:numPr>
          <w:ilvl w:val="0"/>
          <w:numId w:val="2"/>
        </w:numPr>
        <w:spacing w:after="60"/>
      </w:pPr>
      <w:r>
        <w:rPr>
          <w:rFonts w:ascii="Calibri" w:cs="Calibri" w:eastAsia="Calibri" w:hAnsi="Calibri"/>
          <w:sz w:val="22"/>
          <w:szCs w:val="22"/>
        </w:rPr>
        <w:t xml:space="preserve">ISO/IEC 25010 gives the quality model behind the score, covering Modularity, Analysability, Modifiability and Testability.</w:t>
      </w:r>
    </w:p>
    <w:p>
      <w:pPr>
        <w:pStyle w:val="ListParagraph"/>
        <w:numPr>
          <w:ilvl w:val="0"/>
          <w:numId w:val="2"/>
        </w:numPr>
        <w:spacing w:after="60"/>
      </w:pPr>
      <w:r>
        <w:rPr>
          <w:rFonts w:ascii="Calibri" w:cs="Calibri" w:eastAsia="Calibri" w:hAnsi="Calibri"/>
          <w:sz w:val="22"/>
          <w:szCs w:val="22"/>
        </w:rPr>
        <w:t xml:space="preserve">Chidamber &amp; Kemerer metrics (DIT, COF and others) turn design quality into measurable numbers.</w:t>
      </w:r>
    </w:p>
    <w:p>
      <w:pPr>
        <w:pStyle w:val="ListParagraph"/>
        <w:numPr>
          <w:ilvl w:val="0"/>
          <w:numId w:val="2"/>
        </w:numPr>
        <w:spacing w:after="60"/>
      </w:pPr>
      <w:r>
        <w:rPr>
          <w:rFonts w:ascii="Calibri" w:cs="Calibri" w:eastAsia="Calibri" w:hAnsi="Calibri"/>
          <w:sz w:val="22"/>
          <w:szCs w:val="22"/>
        </w:rPr>
        <w:t xml:space="preserve">The verification pipeline re-checks changes before they are accepted, in the same spirit as a CI/CD quality gate.</w:t>
      </w:r>
    </w:p>
    <w:p>
      <w:pPr>
        <w:pStyle w:val="Heading1"/>
        <w:spacing w:after="140" w:before="300"/>
      </w:pPr>
      <w:r>
        <w:rPr>
          <w:rFonts w:ascii="Calibri" w:cs="Calibri" w:eastAsia="Calibri" w:hAnsi="Calibri"/>
          <w:b/>
          <w:bCs/>
          <w:sz w:val="30"/>
          <w:szCs w:val="30"/>
        </w:rPr>
        <w:t xml:space="preserve">4.  Note on Architectural Choices</w:t>
      </w:r>
    </w:p>
    <w:p>
      <w:pPr>
        <w:spacing w:after="120" w:line="300"/>
      </w:pPr>
      <w:r>
        <w:rPr>
          <w:rFonts w:ascii="Calibri" w:cs="Calibri" w:eastAsia="Calibri" w:hAnsi="Calibri"/>
          <w:sz w:val="22"/>
          <w:szCs w:val="22"/>
        </w:rPr>
        <w:t xml:space="preserve">Our persistence approach was designed to be lightweight. Rather than relying on a graph database or a relational database server, Repo-Up is built to be stateless and real-time. The graph is streamed straight to the frontend through Server-Sent Events (SSE), and state is kept in memory in an ephemeral session store. This noticeably cuts latency and infrastructure overhead, and it keeps the tool simple to set up and run offline.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Repo-Up: Subject Mapping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2026-10-06T08:28:19.406Z</dcterms:created>
  <dcterms:modified xsi:type="dcterms:W3CDTF">2026-10-06T08:28:19.412Z</dcterms:modified>
</cp:coreProperties>
</file>

<file path=docProps/custom.xml><?xml version="1.0" encoding="utf-8"?>
<Properties xmlns="http://schemas.openxmlformats.org/officeDocument/2006/custom-properties" xmlns:vt="http://schemas.openxmlformats.org/officeDocument/2006/docPropsVTypes"/>
</file>