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b/>
          <w:bCs/>
          <w:color w:val="A6192E"/>
          <w:sz w:val="34"/>
          <w:szCs w:val="34"/>
        </w:rPr>
        <w:t xml:space="preserve">Addepar ADX Due Diligence — Question-to-Ask/Validation Map</w:t>
      </w:r>
    </w:p>
    <w:p>
      <w:pPr>
        <w:spacing w:after="160"/>
      </w:pPr>
      <w:r>
        <w:rPr>
          <w:rFonts w:ascii="Calibri" w:cs="Calibri" w:eastAsia="Calibri" w:hAnsi="Calibri"/>
          <w:i/>
          <w:iCs/>
          <w:color w:val="595959"/>
          <w:sz w:val="19"/>
          <w:szCs w:val="19"/>
        </w:rPr>
        <w:t xml:space="preserve">BBH Capital Partners  |  Vendor Review Working Document  |  July 2026</w:t>
      </w:r>
    </w:p>
    <w:p>
      <w:pPr>
        <w:spacing w:after="60"/>
      </w:pPr>
      <w:r>
        <w:rPr>
          <w:rFonts w:ascii="Calibri" w:cs="Calibri" w:eastAsia="Calibri" w:hAnsi="Calibri"/>
          <w:color w:val="1F1F1F"/>
          <w:sz w:val="19"/>
          <w:szCs w:val="19"/>
        </w:rPr>
        <w:t xml:space="preserve">Context: ADX is a managed Databricks lakehouse operated inside Addepar's AWS and Databricks tenancy. Addepar therefore owns the AWS account(s), Databricks account, Unity Catalog metastore, KMS keys, and the vendor relationships with AWS/Databricks. Each question below is classified by what BBH should do with it: </w:t>
      </w:r>
    </w:p>
    <w:p>
      <w:pPr>
        <w:spacing w:after="200"/>
      </w:pPr>
      <w:r>
        <w:rPr>
          <w:rFonts w:ascii="Calibri" w:cs="Calibri" w:eastAsia="Calibri" w:hAnsi="Calibri"/>
          <w:b/>
          <w:bCs/>
          <w:color w:val="1F4E79"/>
          <w:sz w:val="19"/>
          <w:szCs w:val="19"/>
        </w:rPr>
        <w:t xml:space="preserve">Ask</w:t>
      </w:r>
      <w:r>
        <w:rPr>
          <w:rFonts w:ascii="Calibri" w:cs="Calibri" w:eastAsia="Calibri" w:hAnsi="Calibri"/>
          <w:color w:val="1F1F1F"/>
          <w:sz w:val="19"/>
          <w:szCs w:val="19"/>
        </w:rPr>
        <w:t xml:space="preserve"> = a demand or negotiation item where a favorable answer is achievable.  </w:t>
      </w:r>
      <w:r>
        <w:rPr>
          <w:rFonts w:ascii="Calibri" w:cs="Calibri" w:eastAsia="Calibri" w:hAnsi="Calibri"/>
          <w:b/>
          <w:bCs/>
          <w:color w:val="2E7D32"/>
          <w:sz w:val="19"/>
          <w:szCs w:val="19"/>
        </w:rPr>
        <w:t xml:space="preserve">Validate</w:t>
      </w:r>
      <w:r>
        <w:rPr>
          <w:rFonts w:ascii="Calibri" w:cs="Calibri" w:eastAsia="Calibri" w:hAnsi="Calibri"/>
          <w:color w:val="1F1F1F"/>
          <w:sz w:val="19"/>
          <w:szCs w:val="19"/>
        </w:rPr>
        <w:t xml:space="preserve"> = expected to be yes/available — require evidence or a live demo, not assurances.  </w:t>
      </w:r>
      <w:r>
        <w:rPr>
          <w:rFonts w:ascii="Calibri" w:cs="Calibri" w:eastAsia="Calibri" w:hAnsi="Calibri"/>
          <w:b/>
          <w:bCs/>
          <w:color w:val="B26A00"/>
          <w:sz w:val="19"/>
          <w:szCs w:val="19"/>
        </w:rPr>
        <w:t xml:space="preserve">Accept / Compensate</w:t>
      </w:r>
      <w:r>
        <w:rPr>
          <w:rFonts w:ascii="Calibri" w:cs="Calibri" w:eastAsia="Calibri" w:hAnsi="Calibri"/>
          <w:color w:val="1F1F1F"/>
          <w:sz w:val="19"/>
          <w:szCs w:val="19"/>
        </w:rPr>
        <w:t xml:space="preserve"> = structurally likely to be “no” in a vendor-hosted model — treat as a risk-acceptance decision with a named compensating control.</w:t>
      </w:r>
    </w:p>
    <w:p>
      <w:pPr>
        <w:pStyle w:val="Heading1"/>
        <w:spacing w:after="100" w:before="220"/>
      </w:pPr>
      <w:r>
        <w:rPr>
          <w:rFonts w:ascii="Calibri" w:cs="Calibri" w:eastAsia="Calibri" w:hAnsi="Calibri"/>
          <w:b/>
          <w:bCs/>
          <w:color w:val="A6192E"/>
          <w:sz w:val="24"/>
          <w:szCs w:val="24"/>
        </w:rPr>
        <w:t xml:space="preserve">A. Summary Questions (Executive-Level)</w:t>
      </w:r>
    </w:p>
    <w:tbl>
      <w:tblPr>
        <w:tblW w:type="dxa" w:w="14000"/>
        <w:tblBorders>
          <w:top w:val="single" w:color="BFBFBF" w:sz="4"/>
          <w:left w:val="single" w:color="BFBFBF" w:sz="4"/>
          <w:bottom w:val="single" w:color="BFBFBF" w:sz="4"/>
          <w:right w:val="single" w:color="BFBFBF" w:sz="4"/>
          <w:insideH w:val="single" w:color="D9D9D9" w:sz="4"/>
          <w:insideV w:val="single" w:color="D9D9D9" w:sz="4"/>
        </w:tblBorders>
      </w:tblPr>
      <w:tblGrid>
        <w:gridCol w:w="4600"/>
        <w:gridCol w:w="1500"/>
        <w:gridCol w:w="7900"/>
      </w:tblGrid>
      <w:tr>
        <w:trPr>
          <w:tblHeader/>
        </w:trPr>
        <w:tc>
          <w:tcPr>
            <w:tcW w:type="dxa" w:w="46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Question</w:t>
            </w:r>
          </w:p>
        </w:tc>
        <w:tc>
          <w:tcPr>
            <w:tcW w:type="dxa" w:w="15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79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The Ask / Validation</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1. Dedicated AWS account and Databricks account, or logically separated resources in Addepar's shared environment?</w:t>
            </w:r>
          </w:p>
        </w:tc>
        <w:tc>
          <w:tcPr>
            <w:tcW w:type="dxa" w:w="1500"/>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an architecture diagram showing AWS account IDs, Databricks account, workspace, and Unity Catalog metastore boundaries. Minimum acceptable: dedicated Databricks workspace + dedicated catalog(s). Preferred: dedicated AWS sub-account. Red flag: catalog-only separation inside a shared workspace. Get the actual account/workspace IDs written into the SOW.</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2. What direct access will BBH have to Databricks, raw audit logs, Unity Catalog, security configurations, workload telemetry, and consumption data?</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read grants on Databricks system tables (system.access.audit, system.billing.usage, system.lineage, system.compute) plus workspace admin console visibility. Validate via a live demo query during the PoC. Red flag: periodic filtered extracts instead of direct query access — this is native Databricks capability, so withholding it is an Addepar policy choice.</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3. Can BBH federate with its own Entra ID and control user access, entitlements, and segregation of duties?</w:t>
            </w:r>
          </w:p>
        </w:tc>
        <w:tc>
          <w:tcPr>
            <w:tcW w:type="dxa" w:w="1500"/>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SAML/OIDC SSO to Entra ID, SCIM provisioning, and BBH-administered Unity Catalog grants within BBH's catalog. All are standard Databricks features. Validate that joiner/mover/leaver flows run through BBH's identity governance with no local Databricks accounts or standing PATs bypassing conditional access.</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4. Can BBH stream raw AWS and Databricks security logs to its own SIEM without filtering, aggregation, or delay?</w:t>
            </w:r>
          </w:p>
        </w:tc>
        <w:tc>
          <w:tcPr>
            <w:tcW w:type="dxa" w:w="1500"/>
            <w:shd w:fill="F2F2F2" w:val="clear"/>
            <w:tcMar>
              <w:top w:type="dxa" w:w="70"/>
              <w:left w:type="dxa" w:w="120"/>
              <w:bottom w:type="dxa" w:w="70"/>
              <w:right w:type="dxa" w:w="120"/>
            </w:tcMar>
          </w:tcPr>
          <w:p>
            <w:r>
              <w:rPr>
                <w:rFonts w:ascii="Calibri" w:cs="Calibri" w:eastAsia="Calibri" w:hAnsi="Calibri"/>
                <w:b/>
                <w:bCs/>
                <w:color w:val="B26A00"/>
                <w:sz w:val="18"/>
                <w:szCs w:val="18"/>
              </w:rPr>
              <w:t xml:space="preserve">Accept / Compensate</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AWS-level logs (CloudTrail for Addepar's account) will almost certainly not be shared raw. Realistic ask: streaming export of Databricks audit system tables to BBH's SIEM with a defined latency SLA and a contractual completeness attestation. Compensating controls: SOC 2 Type II scope covering logging, plus right-to-audit.</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5. Who controls the encryption keys, and can BBH revoke access independently of Addepar?</w:t>
            </w:r>
          </w:p>
        </w:tc>
        <w:tc>
          <w:tcPr>
            <w:tcW w:type="dxa" w:w="1500"/>
            <w:tcMar>
              <w:top w:type="dxa" w:w="70"/>
              <w:left w:type="dxa" w:w="120"/>
              <w:bottom w:type="dxa" w:w="70"/>
              <w:right w:type="dxa" w:w="120"/>
            </w:tcMar>
          </w:tcPr>
          <w:p>
            <w:r>
              <w:rPr>
                <w:rFonts w:ascii="Calibri" w:cs="Calibri" w:eastAsia="Calibri" w:hAnsi="Calibri"/>
                <w:b/>
                <w:bCs/>
                <w:color w:val="B26A00"/>
                <w:sz w:val="18"/>
                <w:szCs w:val="18"/>
              </w:rPr>
              <w:t xml:space="preserve">Accept / Compensate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In Addepar's tenancy the KMS keys will be Addepar-owned; true BYOK/HYOK with independent revocation is structurally unlikely. Ask for per-customer dedicated keys, documented key policy, rotation schedule, and dual-control on key administration. Treat this as an acceptance decision: if key revocation is impossible, the compensating control is a continuously refreshed BBH-controlled data copy (see exit/DR section).</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6. What can BBH developers build, configure, deploy, and support without an Addepar service request?</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a written self-service matrix: every action classified as self-service, guardrailed self-service, or ticketed — with SLAs for the ticketed ones. Then validate hands-on in a PoC with BBH engineers (Andrew/Jorge) performing real tasks. This question decides whether ADX is a platform or a product with a SQL endpoint.</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7. Can BBH control its own repos, CI/CD, deployment identities, approvals, and production releases?</w:t>
            </w:r>
          </w:p>
        </w:tc>
        <w:tc>
          <w:tcPr>
            <w:tcW w:type="dxa" w:w="1500"/>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BBH-owned Azure DevOps/GitHub repos, BBH pipelines deploying via Databricks Asset Bundles/Terraform into the BBH workspace, and BBH-owned deployment service principals using OIDC federation (no shared secrets held by Addepar). Validate by deploying a sample job end-to-end from BBH's CI during the PoC.</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8. What AWS-specific or Addepar-proprietary dependencies must be replaced to move workloads to BBH's Azure tenant?</w:t>
            </w:r>
          </w:p>
        </w:tc>
        <w:tc>
          <w:tcPr>
            <w:tcW w:type="dxa" w:w="1500"/>
            <w:shd w:fill="F2F2F2" w:val="clear"/>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a dependency inventory. Everything should be Delta/Parquet + standard Databricks APIs; any Addepar-proprietary framework, orchestration service, or data structure in the critical path is lock-in. Strongest validation: redeploy one representative pipeline into a BBH Azure Databricks workspace as an exit rehearsal.</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9. Can BBH engage Databricks and AWS directly during a critical incident, with a complete support record?</w:t>
            </w:r>
          </w:p>
        </w:tc>
        <w:tc>
          <w:tcPr>
            <w:tcW w:type="dxa" w:w="1500"/>
            <w:tcMar>
              <w:top w:type="dxa" w:w="70"/>
              <w:left w:type="dxa" w:w="120"/>
              <w:bottom w:type="dxa" w:w="70"/>
              <w:right w:type="dxa" w:w="120"/>
            </w:tcMar>
          </w:tcPr>
          <w:p>
            <w:r>
              <w:rPr>
                <w:rFonts w:ascii="Calibri" w:cs="Calibri" w:eastAsia="Calibri" w:hAnsi="Calibri"/>
                <w:b/>
                <w:bCs/>
                <w:color w:val="B26A00"/>
                <w:sz w:val="18"/>
                <w:szCs w:val="18"/>
              </w:rPr>
              <w:t xml:space="preserve">Accept / Compensate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Likely no — Addepar, not BBH, is the customer of Databricks and AWS. Ask instead for a contractual escalation path with named severity SLAs, a joint war-room commitment for Sev-1s, and delivery of the complete incident and vendor support record. Confirm NYDFS Part 500 72-hour notification obligations flow through.</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10. What exit provisions ensure BBH receives all data, code, metadata, lineage, security rules, configurations, logs, and deployment artifacts in usable formats?</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an exit schedule in the contract enumerating each artifact class and its format: data as Delta/Parquet, UC definitions and grants as SQL DDL, jobs as DAB YAML/JSON, lineage and audit via API export. Ask for Delta Sharing as a continuous egress mechanism during the term, plus a defined transition-assistance period and cost.</w:t>
            </w:r>
          </w:p>
        </w:tc>
      </w:tr>
    </w:tbl>
    <w:p>
      <w:pPr>
        <w:pStyle w:val="Heading1"/>
        <w:spacing w:after="100" w:before="220"/>
      </w:pPr>
      <w:r>
        <w:rPr>
          <w:rFonts w:ascii="Calibri" w:cs="Calibri" w:eastAsia="Calibri" w:hAnsi="Calibri"/>
          <w:b/>
          <w:bCs/>
          <w:color w:val="A6192E"/>
          <w:sz w:val="24"/>
          <w:szCs w:val="24"/>
        </w:rPr>
        <w:t xml:space="preserve">B. Tenancy, Isolation &amp; Storage</w:t>
      </w:r>
    </w:p>
    <w:tbl>
      <w:tblPr>
        <w:tblW w:type="dxa" w:w="14000"/>
        <w:tblBorders>
          <w:top w:val="single" w:color="BFBFBF" w:sz="4"/>
          <w:left w:val="single" w:color="BFBFBF" w:sz="4"/>
          <w:bottom w:val="single" w:color="BFBFBF" w:sz="4"/>
          <w:right w:val="single" w:color="BFBFBF" w:sz="4"/>
          <w:insideH w:val="single" w:color="D9D9D9" w:sz="4"/>
          <w:insideV w:val="single" w:color="D9D9D9" w:sz="4"/>
        </w:tblBorders>
      </w:tblPr>
      <w:tblGrid>
        <w:gridCol w:w="4600"/>
        <w:gridCol w:w="1500"/>
        <w:gridCol w:w="7900"/>
      </w:tblGrid>
      <w:tr>
        <w:trPr>
          <w:tblHeader/>
        </w:trPr>
        <w:tc>
          <w:tcPr>
            <w:tcW w:type="dxa" w:w="46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Question</w:t>
            </w:r>
          </w:p>
        </w:tc>
        <w:tc>
          <w:tcPr>
            <w:tcW w:type="dxa" w:w="15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79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The Ask / Validation</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Dedicated AWS account, Databricks workspace, and storage vs shared infrastructure?</w:t>
            </w:r>
          </w:p>
        </w:tc>
        <w:tc>
          <w:tcPr>
            <w:tcW w:type="dxa" w:w="1500"/>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Same as Summary Q1 — demand precision at all three layers (AWS account / workspace / catalog+storage). Vendors blur these deliberately; get IDs and boundaries documented.</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How is BBH data logically and physically isolated from Addepar and other clients?</w:t>
            </w:r>
          </w:p>
        </w:tc>
        <w:tc>
          <w:tcPr>
            <w:tcW w:type="dxa" w:w="1500"/>
            <w:shd w:fill="F2F2F2" w:val="clear"/>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the isolation whitepaper: network isolation (VPC/subnet design), storage isolation (dedicated buckets vs shared buckets with prefixes), and compute isolation (dedicated vs serverless shared pools). Prefix-level separation in shared buckets is weaker — note it in the risk assessment.</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Which AWS services store, process, cache, back up, or log BBH data?</w:t>
            </w:r>
          </w:p>
        </w:tc>
        <w:tc>
          <w:tcPr>
            <w:tcW w:type="dxa" w:w="1500"/>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a complete data-flow inventory including caches, backups, log stores, and any analytics/ML services. Required input for BBH's NYDFS data mapping and records-of-processing obligations. Watch for services outside the stated isolation boundary.</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Can BBH independently manage S3 buckets?</w:t>
            </w:r>
          </w:p>
        </w:tc>
        <w:tc>
          <w:tcPr>
            <w:tcW w:type="dxa" w:w="1500"/>
            <w:shd w:fill="F2F2F2" w:val="clear"/>
            <w:tcMar>
              <w:top w:type="dxa" w:w="70"/>
              <w:left w:type="dxa" w:w="120"/>
              <w:bottom w:type="dxa" w:w="70"/>
              <w:right w:type="dxa" w:w="120"/>
            </w:tcMar>
          </w:tcPr>
          <w:p>
            <w:r>
              <w:rPr>
                <w:rFonts w:ascii="Calibri" w:cs="Calibri" w:eastAsia="Calibri" w:hAnsi="Calibri"/>
                <w:b/>
                <w:bCs/>
                <w:color w:val="B26A00"/>
                <w:sz w:val="18"/>
                <w:szCs w:val="18"/>
              </w:rPr>
              <w:t xml:space="preserve">Accept / Compensate</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Almost certainly no in Addepar's account. Validate instead what storage-level visibility BBH gets: access logs, lifecycle policies, replication configuration, and object-level encryption evidence.</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Are data and backups encrypted with customer-specific keys?</w:t>
            </w:r>
          </w:p>
        </w:tc>
        <w:tc>
          <w:tcPr>
            <w:tcW w:type="dxa" w:w="1500"/>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Validate via SOC 2 Type II detail plus a key inventory showing BBH-specific CMKs applied to primary storage AND backups. Backups encrypted under a shared key undermine per-client key claims.</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Are KMS keys dedicated to BBH or shared across Addepar clients?</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per-client dedicated keys as a minimum bar. Shared keys across clients should be treated as a material finding for Hema's risk register.</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Who owns and controls the KMS keys?</w:t>
            </w:r>
          </w:p>
        </w:tc>
        <w:tc>
          <w:tcPr>
            <w:tcW w:type="dxa" w:w="1500"/>
            <w:tcMar>
              <w:top w:type="dxa" w:w="70"/>
              <w:left w:type="dxa" w:w="120"/>
              <w:bottom w:type="dxa" w:w="70"/>
              <w:right w:type="dxa" w:w="120"/>
            </w:tcMar>
          </w:tcPr>
          <w:p>
            <w:r>
              <w:rPr>
                <w:rFonts w:ascii="Calibri" w:cs="Calibri" w:eastAsia="Calibri" w:hAnsi="Calibri"/>
                <w:b/>
                <w:bCs/>
                <w:color w:val="B26A00"/>
                <w:sz w:val="18"/>
                <w:szCs w:val="18"/>
              </w:rPr>
              <w:t xml:space="preserve">Accept / Compensate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Addepar will. Validate the key policy JSON, rotation cadence, dual-control/quorum on key administration, and whether any key action affecting BBH data generates a notification BBH can see.</w:t>
            </w:r>
          </w:p>
        </w:tc>
      </w:tr>
    </w:tbl>
    <w:p>
      <w:pPr>
        <w:pStyle w:val="Heading1"/>
        <w:spacing w:after="100" w:before="220"/>
      </w:pPr>
      <w:r>
        <w:rPr>
          <w:rFonts w:ascii="Calibri" w:cs="Calibri" w:eastAsia="Calibri" w:hAnsi="Calibri"/>
          <w:b/>
          <w:bCs/>
          <w:color w:val="A6192E"/>
          <w:sz w:val="24"/>
          <w:szCs w:val="24"/>
        </w:rPr>
        <w:t xml:space="preserve">C. Administrative Access &amp; Personnel</w:t>
      </w:r>
    </w:p>
    <w:tbl>
      <w:tblPr>
        <w:tblW w:type="dxa" w:w="14000"/>
        <w:tblBorders>
          <w:top w:val="single" w:color="BFBFBF" w:sz="4"/>
          <w:left w:val="single" w:color="BFBFBF" w:sz="4"/>
          <w:bottom w:val="single" w:color="BFBFBF" w:sz="4"/>
          <w:right w:val="single" w:color="BFBFBF" w:sz="4"/>
          <w:insideH w:val="single" w:color="D9D9D9" w:sz="4"/>
          <w:insideV w:val="single" w:color="D9D9D9" w:sz="4"/>
        </w:tblBorders>
      </w:tblPr>
      <w:tblGrid>
        <w:gridCol w:w="4600"/>
        <w:gridCol w:w="1500"/>
        <w:gridCol w:w="7900"/>
      </w:tblGrid>
      <w:tr>
        <w:trPr>
          <w:tblHeader/>
        </w:trPr>
        <w:tc>
          <w:tcPr>
            <w:tcW w:type="dxa" w:w="46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Question</w:t>
            </w:r>
          </w:p>
        </w:tc>
        <w:tc>
          <w:tcPr>
            <w:tcW w:type="dxa" w:w="15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79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The Ask / Validation</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Will BBH receive direct AWS or Databricks administrative access?</w:t>
            </w:r>
          </w:p>
        </w:tc>
        <w:tc>
          <w:tcPr>
            <w:tcW w:type="dxa" w:w="1500"/>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Expect workspace-admin (Databricks) at best and no AWS console access. Validate exactly which admin capabilities are delegated: user management, cluster policies, warehouse config, secrets, catalog grants.</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If not, how can BBH independently validate configurations and controls?</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read access to security configuration, SOC 2 Type II reports, penetration test executive summaries, and a contractual right-to-audit (or NYDFS-aligned assessment rights). Independent validation cannot rest on vendor attestation alone.</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Can Addepar administrators access BBH production data, notebooks, credentials, models, or query results?</w:t>
            </w:r>
          </w:p>
        </w:tc>
        <w:tc>
          <w:tcPr>
            <w:tcW w:type="dxa" w:w="1500"/>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a just-in-time / break-glass access model: no standing access, customer approval for support access where feasible (Lockbox-style), and complete logging of every Addepar access to BBH data — queryable by BBH.</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Do Addepar personnel have standing privileged access to ADX?</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Demand zero standing privileged access as the target state. If PIM/JIT with time-boxed elevation exists, validate that elevation events are logged and alertable into BBH's SIEM feed.</w:t>
            </w:r>
          </w:p>
        </w:tc>
      </w:tr>
    </w:tbl>
    <w:p>
      <w:pPr>
        <w:pStyle w:val="Heading1"/>
        <w:spacing w:after="100" w:before="220"/>
      </w:pPr>
      <w:r>
        <w:rPr>
          <w:rFonts w:ascii="Calibri" w:cs="Calibri" w:eastAsia="Calibri" w:hAnsi="Calibri"/>
          <w:b/>
          <w:bCs/>
          <w:color w:val="A6192E"/>
          <w:sz w:val="24"/>
          <w:szCs w:val="24"/>
        </w:rPr>
        <w:t xml:space="preserve">D. Identity &amp; Access Management</w:t>
      </w:r>
    </w:p>
    <w:tbl>
      <w:tblPr>
        <w:tblW w:type="dxa" w:w="14000"/>
        <w:tblBorders>
          <w:top w:val="single" w:color="BFBFBF" w:sz="4"/>
          <w:left w:val="single" w:color="BFBFBF" w:sz="4"/>
          <w:bottom w:val="single" w:color="BFBFBF" w:sz="4"/>
          <w:right w:val="single" w:color="BFBFBF" w:sz="4"/>
          <w:insideH w:val="single" w:color="D9D9D9" w:sz="4"/>
          <w:insideV w:val="single" w:color="D9D9D9" w:sz="4"/>
        </w:tblBorders>
      </w:tblPr>
      <w:tblGrid>
        <w:gridCol w:w="4600"/>
        <w:gridCol w:w="1500"/>
        <w:gridCol w:w="7900"/>
      </w:tblGrid>
      <w:tr>
        <w:trPr>
          <w:tblHeader/>
        </w:trPr>
        <w:tc>
          <w:tcPr>
            <w:tcW w:type="dxa" w:w="46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Question</w:t>
            </w:r>
          </w:p>
        </w:tc>
        <w:tc>
          <w:tcPr>
            <w:tcW w:type="dxa" w:w="15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79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The Ask / Validation</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Can BBH control users and groups through its own access-control processes?</w:t>
            </w:r>
          </w:p>
        </w:tc>
        <w:tc>
          <w:tcPr>
            <w:tcW w:type="dxa" w:w="1500"/>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SCIM provisioning from Entra ID so groups and entitlements are mastered in BBH's IGA tooling. Validate that no out-of-band user creation path exists in the workspace.</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Can BBH enforce its own MFA and conditional-access requirements?</w:t>
            </w:r>
          </w:p>
        </w:tc>
        <w:tc>
          <w:tcPr>
            <w:tcW w:type="dxa" w:w="1500"/>
            <w:shd w:fill="F2F2F2" w:val="clear"/>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Enforced automatically once SSO is Entra-fronted. Validate the bypass paths: local passwords disabled, personal access tokens restricted or OAuth-only, token lifetimes policy-controlled.</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Will provisioning/removal be automated via SCIM or another identity integration?</w:t>
            </w:r>
          </w:p>
        </w:tc>
        <w:tc>
          <w:tcPr>
            <w:tcW w:type="dxa" w:w="1500"/>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Yes should be the answer. Validate the deprovisioning SLA — disabling a user in Entra must revoke workspace access and active tokens promptly. Test this in the PoC with a real disable event.</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Will BBH control Databricks roles and Unity Catalog permissions, or will Addepar implement them on BBH's behalf?</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BBH-administered grants within BBH's catalog(s); Addepar retains the metastore. 'Send us a ticket and we'll set the grant' is unacceptable at 1,000-consumer scale.</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Can BBH define segregation of duties between developers, data owners, security admins, and platform operators?</w:t>
            </w:r>
          </w:p>
        </w:tc>
        <w:tc>
          <w:tcPr>
            <w:tcW w:type="dxa" w:w="1500"/>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Validate that the delegated role model supports BBH's SoD matrix — e.g., the person deploying jobs cannot also approve grants. Map ADX roles to BBH's existing RBAC standards before signing.</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How are non-human identities, service accounts, API tokens, and pipeline credentials created, rotated, monitored, and revoked?</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service-principal lifecycle ownership by BBH, OAuth/federated credentials preferred over long-lived PATs, rotation SLAs, an ownership registry, and revocation authority resting with BBH for BBH-created identities.</w:t>
            </w:r>
          </w:p>
        </w:tc>
      </w:tr>
    </w:tbl>
    <w:p>
      <w:pPr>
        <w:pStyle w:val="Heading1"/>
        <w:spacing w:after="100" w:before="220"/>
      </w:pPr>
      <w:r>
        <w:rPr>
          <w:rFonts w:ascii="Calibri" w:cs="Calibri" w:eastAsia="Calibri" w:hAnsi="Calibri"/>
          <w:b/>
          <w:bCs/>
          <w:color w:val="A6192E"/>
          <w:sz w:val="24"/>
          <w:szCs w:val="24"/>
        </w:rPr>
        <w:t xml:space="preserve">E. Visibility, Monitoring &amp; Change Management</w:t>
      </w:r>
    </w:p>
    <w:tbl>
      <w:tblPr>
        <w:tblW w:type="dxa" w:w="14000"/>
        <w:tblBorders>
          <w:top w:val="single" w:color="BFBFBF" w:sz="4"/>
          <w:left w:val="single" w:color="BFBFBF" w:sz="4"/>
          <w:bottom w:val="single" w:color="BFBFBF" w:sz="4"/>
          <w:right w:val="single" w:color="BFBFBF" w:sz="4"/>
          <w:insideH w:val="single" w:color="D9D9D9" w:sz="4"/>
          <w:insideV w:val="single" w:color="D9D9D9" w:sz="4"/>
        </w:tblBorders>
      </w:tblPr>
      <w:tblGrid>
        <w:gridCol w:w="4600"/>
        <w:gridCol w:w="1500"/>
        <w:gridCol w:w="7900"/>
      </w:tblGrid>
      <w:tr>
        <w:trPr>
          <w:tblHeader/>
        </w:trPr>
        <w:tc>
          <w:tcPr>
            <w:tcW w:type="dxa" w:w="46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Question</w:t>
            </w:r>
          </w:p>
        </w:tc>
        <w:tc>
          <w:tcPr>
            <w:tcW w:type="dxa" w:w="15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79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The Ask / Validation</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Direct access to the Databricks workspace and Unity Catalog?</w:t>
            </w:r>
          </w:p>
        </w:tc>
        <w:tc>
          <w:tcPr>
            <w:tcW w:type="dxa" w:w="1500"/>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Should be yes. Validate scope in a live demo — full workspace UI, catalog explorer, lineage graph, not a curated portal in front of it.</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Visibility into activity, configs, UC privileges, clusters/warehouses, job history, lineage, system tables, runtimes, security policies, cost?</w:t>
            </w:r>
          </w:p>
        </w:tc>
        <w:tc>
          <w:tcPr>
            <w:tcW w:type="dxa" w:w="1500"/>
            <w:shd w:fill="F2F2F2" w:val="clear"/>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Map each item to its native source (system tables, admin console, APIs) and have Addepar demonstrate BBH querying each one. Anything on the list Addepar cannot demo becomes a documented gap with a remediation date.</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Can BBH independently query and export audit and operational information?</w:t>
            </w:r>
          </w:p>
        </w:tc>
        <w:tc>
          <w:tcPr>
            <w:tcW w:type="dxa" w:w="1500"/>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API/system-table export rights with no volume caps or approval workflow, so audit data can land in BBH's evidence store for NYDFS exams.</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Can BBH monitor the platform in real time?</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near-real-time telemetry with a defined latency SLA (e.g., audit events visible within minutes, not daily batches). Define 'real time' in the contract, not in the sales deck.</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Advance notice of material changes?</w:t>
            </w:r>
          </w:p>
        </w:tc>
        <w:tc>
          <w:tcPr>
            <w:tcW w:type="dxa" w:w="1500"/>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a contractual notice period (30/60/90 days by change class) covering runtime upgrades, security changes, data-location changes, and feature deprecations.</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Can BBH require approval for changes affecting security, data location, resiliency, performance, or cost?</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Push for consent rights (not just notice) on data location and security-material changes — NYDFS and cross-border obligations make these non-delegable. Performance/cost changes may reasonably be notice-only with a dispute mechanism.</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Complete record of administrative changes?</w:t>
            </w:r>
          </w:p>
        </w:tc>
        <w:tc>
          <w:tcPr>
            <w:tcW w:type="dxa" w:w="1500"/>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Validate that Addepar-side administrative and configuration changes appear in a change log BBH can query — not just changes BBH itself makes.</w:t>
            </w:r>
          </w:p>
        </w:tc>
      </w:tr>
    </w:tbl>
    <w:p>
      <w:pPr>
        <w:pStyle w:val="Heading1"/>
        <w:spacing w:after="100" w:before="220"/>
      </w:pPr>
      <w:r>
        <w:rPr>
          <w:rFonts w:ascii="Calibri" w:cs="Calibri" w:eastAsia="Calibri" w:hAnsi="Calibri"/>
          <w:b/>
          <w:bCs/>
          <w:color w:val="A6192E"/>
          <w:sz w:val="24"/>
          <w:szCs w:val="24"/>
        </w:rPr>
        <w:t xml:space="preserve">F. Cost &amp; Consumption Transparency</w:t>
      </w:r>
    </w:p>
    <w:tbl>
      <w:tblPr>
        <w:tblW w:type="dxa" w:w="14000"/>
        <w:tblBorders>
          <w:top w:val="single" w:color="BFBFBF" w:sz="4"/>
          <w:left w:val="single" w:color="BFBFBF" w:sz="4"/>
          <w:bottom w:val="single" w:color="BFBFBF" w:sz="4"/>
          <w:right w:val="single" w:color="BFBFBF" w:sz="4"/>
          <w:insideH w:val="single" w:color="D9D9D9" w:sz="4"/>
          <w:insideV w:val="single" w:color="D9D9D9" w:sz="4"/>
        </w:tblBorders>
      </w:tblPr>
      <w:tblGrid>
        <w:gridCol w:w="4600"/>
        <w:gridCol w:w="1500"/>
        <w:gridCol w:w="7900"/>
      </w:tblGrid>
      <w:tr>
        <w:trPr>
          <w:tblHeader/>
        </w:trPr>
        <w:tc>
          <w:tcPr>
            <w:tcW w:type="dxa" w:w="46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Question</w:t>
            </w:r>
          </w:p>
        </w:tc>
        <w:tc>
          <w:tcPr>
            <w:tcW w:type="dxa" w:w="15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79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The Ask / Validation</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Visibility into underlying DBU, AWS compute, storage, network, support, and egress costs?</w:t>
            </w:r>
          </w:p>
        </w:tc>
        <w:tc>
          <w:tcPr>
            <w:tcW w:type="dxa" w:w="1500"/>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read access to system.billing.usage and list-price mapping. If Addepar refuses line-item visibility, that is itself the answer to the next question.</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Billed at actual consumption, marked up, or bundled?</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directly for the commercial model and unit rates in the order form. Bundled pricing is acceptable only with a benchmarking/true-up clause; otherwise cost drift is invisible. This also feeds the comparison against a first-party Databricks build.</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Can BBH attribute consumption to applications, teams, pipelines, and data products?</w:t>
            </w:r>
          </w:p>
        </w:tc>
        <w:tc>
          <w:tcPr>
            <w:tcW w:type="dxa" w:w="1500"/>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Validate tag propagation and budget policies at cluster/job/warehouse level, and that tags survive into the billing data BBH can query.</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How are cost anomalies detected and communicated?</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anomaly alerting with BBH-configurable thresholds and named recipients, plus a monthly consumption review cadence in the governance model.</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Can BBH establish budgets, quotas, cluster policies, and automated shutdown rules?</w:t>
            </w:r>
          </w:p>
        </w:tc>
        <w:tc>
          <w:tcPr>
            <w:tcW w:type="dxa" w:w="1500"/>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BBH-configurable guardrails within its workspace (cluster policies, max DBU budgets, auto-termination). If Addepar authors the policies, BBH must at least review and approve them.</w:t>
            </w:r>
          </w:p>
        </w:tc>
      </w:tr>
    </w:tbl>
    <w:p>
      <w:pPr>
        <w:pStyle w:val="Heading1"/>
        <w:spacing w:after="100" w:before="220"/>
      </w:pPr>
      <w:r>
        <w:rPr>
          <w:rFonts w:ascii="Calibri" w:cs="Calibri" w:eastAsia="Calibri" w:hAnsi="Calibri"/>
          <w:b/>
          <w:bCs/>
          <w:color w:val="A6192E"/>
          <w:sz w:val="24"/>
          <w:szCs w:val="24"/>
        </w:rPr>
        <w:t xml:space="preserve">G. Developer Autonomy &amp; Operating Model</w:t>
      </w:r>
    </w:p>
    <w:tbl>
      <w:tblPr>
        <w:tblW w:type="dxa" w:w="14000"/>
        <w:tblBorders>
          <w:top w:val="single" w:color="BFBFBF" w:sz="4"/>
          <w:left w:val="single" w:color="BFBFBF" w:sz="4"/>
          <w:bottom w:val="single" w:color="BFBFBF" w:sz="4"/>
          <w:right w:val="single" w:color="BFBFBF" w:sz="4"/>
          <w:insideH w:val="single" w:color="D9D9D9" w:sz="4"/>
          <w:insideV w:val="single" w:color="D9D9D9" w:sz="4"/>
        </w:tblBorders>
      </w:tblPr>
      <w:tblGrid>
        <w:gridCol w:w="4600"/>
        <w:gridCol w:w="1500"/>
        <w:gridCol w:w="7900"/>
      </w:tblGrid>
      <w:tr>
        <w:trPr>
          <w:tblHeader/>
        </w:trPr>
        <w:tc>
          <w:tcPr>
            <w:tcW w:type="dxa" w:w="46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Question</w:t>
            </w:r>
          </w:p>
        </w:tc>
        <w:tc>
          <w:tcPr>
            <w:tcW w:type="dxa" w:w="15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79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The Ask / Validation</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Direct developer access to notebooks, repos, jobs, workflows, SQL warehouses, clusters, Unity Catalog?</w:t>
            </w:r>
          </w:p>
        </w:tc>
        <w:tc>
          <w:tcPr>
            <w:tcW w:type="dxa" w:w="1500"/>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Should be yes within the BBH workspace. Validate hands-on: BBH engineers perform each activity in the PoC without Addepar assistance.</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Which activities can BBH engineers perform without an Addepar service request?</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the written self-service matrix (Summary Q6). Every 'ticketed' row needs an SLA and a justification.</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Can developers configure development resources within approved guardrails?</w:t>
            </w:r>
          </w:p>
        </w:tc>
        <w:tc>
          <w:tcPr>
            <w:tcW w:type="dxa" w:w="1500"/>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Validate that guardrails are transparent (BBH can read the cluster policies) and that dev/test resource creation is fully self-service.</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Approval needed to: install a library, upgrade a runtime, create a service principal, establish a data connection, modify a cluster policy, create an environment, deploy a production job, adopt a new Databricks capability?</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a per-item answer with turnaround SLA. Target: libraries, runtimes, SPs, environments, and production deploys are self-service or BBH-approved; only platform-boundary items (new data connections, cluster policy changes) reasonably involve Addepar. Red flag: everything routes through Addepar.</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Expected turnaround times for these requests?</w:t>
            </w:r>
          </w:p>
        </w:tc>
        <w:tc>
          <w:tcPr>
            <w:tcW w:type="dxa" w:w="1500"/>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contractual SLAs by request class — 'best effort' is not an operating model for a system feeding ~1,000 downstream consumers.</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Restrictions from Addepar's shared platform standards or release schedule?</w:t>
            </w:r>
          </w:p>
        </w:tc>
        <w:tc>
          <w:tcPr>
            <w:tcW w:type="dxa" w:w="1500"/>
            <w:shd w:fill="F2F2F2" w:val="clear"/>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Validate how far behind Databricks releases ADX runs, and who decides enablement of new capabilities (serverless, DLT, Genie, new runtimes). Ask for the historical lag on the last four Databricks runtime releases as evidence.</w:t>
            </w:r>
          </w:p>
        </w:tc>
      </w:tr>
    </w:tbl>
    <w:p>
      <w:pPr>
        <w:pStyle w:val="Heading1"/>
        <w:spacing w:after="100" w:before="220"/>
      </w:pPr>
      <w:r>
        <w:rPr>
          <w:rFonts w:ascii="Calibri" w:cs="Calibri" w:eastAsia="Calibri" w:hAnsi="Calibri"/>
          <w:b/>
          <w:bCs/>
          <w:color w:val="A6192E"/>
          <w:sz w:val="24"/>
          <w:szCs w:val="24"/>
        </w:rPr>
        <w:t xml:space="preserve">H. CI/CD &amp; Deployment</w:t>
      </w:r>
    </w:p>
    <w:tbl>
      <w:tblPr>
        <w:tblW w:type="dxa" w:w="14000"/>
        <w:tblBorders>
          <w:top w:val="single" w:color="BFBFBF" w:sz="4"/>
          <w:left w:val="single" w:color="BFBFBF" w:sz="4"/>
          <w:bottom w:val="single" w:color="BFBFBF" w:sz="4"/>
          <w:right w:val="single" w:color="BFBFBF" w:sz="4"/>
          <w:insideH w:val="single" w:color="D9D9D9" w:sz="4"/>
          <w:insideV w:val="single" w:color="D9D9D9" w:sz="4"/>
        </w:tblBorders>
      </w:tblPr>
      <w:tblGrid>
        <w:gridCol w:w="4600"/>
        <w:gridCol w:w="1500"/>
        <w:gridCol w:w="7900"/>
      </w:tblGrid>
      <w:tr>
        <w:trPr>
          <w:tblHeader/>
        </w:trPr>
        <w:tc>
          <w:tcPr>
            <w:tcW w:type="dxa" w:w="46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Question</w:t>
            </w:r>
          </w:p>
        </w:tc>
        <w:tc>
          <w:tcPr>
            <w:tcW w:type="dxa" w:w="15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79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The Ask / Validation</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Can BBH use its own Azure DevOps or GitHub repositories?</w:t>
            </w:r>
          </w:p>
        </w:tc>
        <w:tc>
          <w:tcPr>
            <w:tcW w:type="dxa" w:w="1500"/>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confirmation that source code never needs to reside in Addepar-controlled systems. BBH repos remain the system of record for all BBH-developed code.</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Can BBH control the complete CI/CD process?</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BBH-run pipelines (Jenkins/ADO) executing build, test, scan, and deploy — with Addepar involvement limited to platform guardrails, not pipeline ownership.</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Can BBH pipelines deploy directly into the Addepar-hosted Databricks environment?</w:t>
            </w:r>
          </w:p>
        </w:tc>
        <w:tc>
          <w:tcPr>
            <w:tcW w:type="dxa" w:w="1500"/>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Validate by deploying a sample Databricks Asset Bundle from BBH CI into the BBH workspace during the PoC. If deploys must be handed to Addepar, autonomy claims collapse.</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Who owns deployment service principals, credentials, and tokens?</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BBH-owned service principals with OIDC/workload-identity federation — no long-lived secrets, and nothing held by Addepar that can impersonate BBH's pipeline.</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Can BBH use Terraform, Databricks Asset Bundles, APIs, and CLI tooling?</w:t>
            </w:r>
          </w:p>
        </w:tc>
        <w:tc>
          <w:tcPr>
            <w:tcW w:type="dxa" w:w="1500"/>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Validate that the standard Databricks APIs are not blocked or wrapped by a proprietary Addepar layer. API wrapping is both an autonomy and a portability problem.</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Can BBH enforce its own code-review, testing, security-scanning, and release-approval requirements?</w:t>
            </w:r>
          </w:p>
        </w:tc>
        <w:tc>
          <w:tcPr>
            <w:tcW w:type="dxa" w:w="1500"/>
            <w:shd w:fill="F2F2F2" w:val="clear"/>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Should be yes since gates live in BBH's pipeline. Validate nothing in the ADX deploy path bypasses or duplicates BBH's controls.</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Can code move dev → test → staging → prod without manual Addepar intervention?</w:t>
            </w:r>
          </w:p>
        </w:tc>
        <w:tc>
          <w:tcPr>
            <w:tcW w:type="dxa" w:w="1500"/>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zero-touch promotion as the target. If production is Addepar-gated, get the SLA and the exact approval criteria in writing.</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Can Addepar change BBH code or production configurations outside BBH's pipelines?</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a contractual prohibition on out-of-band changes except break-glass — with mandatory logging and notification to BBH within a defined window.</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Can BBH retrieve complete deployment and change logs?</w:t>
            </w:r>
          </w:p>
        </w:tc>
        <w:tc>
          <w:tcPr>
            <w:tcW w:type="dxa" w:w="1500"/>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Validate an export path for deployment history covering both BBH-initiated and Addepar-initiated changes.</w:t>
            </w:r>
          </w:p>
        </w:tc>
      </w:tr>
    </w:tbl>
    <w:p>
      <w:pPr>
        <w:pStyle w:val="Heading1"/>
        <w:spacing w:after="100" w:before="220"/>
      </w:pPr>
      <w:r>
        <w:rPr>
          <w:rFonts w:ascii="Calibri" w:cs="Calibri" w:eastAsia="Calibri" w:hAnsi="Calibri"/>
          <w:b/>
          <w:bCs/>
          <w:color w:val="A6192E"/>
          <w:sz w:val="24"/>
          <w:szCs w:val="24"/>
        </w:rPr>
        <w:t xml:space="preserve">I. Intellectual Property &amp; Confidentiality</w:t>
      </w:r>
    </w:p>
    <w:tbl>
      <w:tblPr>
        <w:tblW w:type="dxa" w:w="14000"/>
        <w:tblBorders>
          <w:top w:val="single" w:color="BFBFBF" w:sz="4"/>
          <w:left w:val="single" w:color="BFBFBF" w:sz="4"/>
          <w:bottom w:val="single" w:color="BFBFBF" w:sz="4"/>
          <w:right w:val="single" w:color="BFBFBF" w:sz="4"/>
          <w:insideH w:val="single" w:color="D9D9D9" w:sz="4"/>
          <w:insideV w:val="single" w:color="D9D9D9" w:sz="4"/>
        </w:tblBorders>
      </w:tblPr>
      <w:tblGrid>
        <w:gridCol w:w="4600"/>
        <w:gridCol w:w="1500"/>
        <w:gridCol w:w="7900"/>
      </w:tblGrid>
      <w:tr>
        <w:trPr>
          <w:tblHeader/>
        </w:trPr>
        <w:tc>
          <w:tcPr>
            <w:tcW w:type="dxa" w:w="46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Question</w:t>
            </w:r>
          </w:p>
        </w:tc>
        <w:tc>
          <w:tcPr>
            <w:tcW w:type="dxa" w:w="15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79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The Ask / Validation</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Does BBH retain exclusive ownership of source code, notebooks, pipelines, data models, business rules, metadata, features, models, prompts, documentation, infrastructure configs?</w:t>
            </w:r>
          </w:p>
        </w:tc>
        <w:tc>
          <w:tcPr>
            <w:tcW w:type="dxa" w:w="1500"/>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an express contract clause: BBH owns all BBH-developed artifacts; Addepar receives only the license needed to operate the service during the term. Scrutinize 'feedback', 'usage data', and 'derived data' clauses — they are where ownership leaks.</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Can Addepar reuse BBH-developed patterns for other clients?</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a prohibition on reuse or generalization of BBH confidential work product. Separately and critically: contractually prohibit use of BBH data for training Addison or any Addepar AI model, and for cross-client benchmarking, without explicit written consent.</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How is BBH confidential information separated from Addepar's proprietary platform components?</w:t>
            </w:r>
          </w:p>
        </w:tc>
        <w:tc>
          <w:tcPr>
            <w:tcW w:type="dxa" w:w="1500"/>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Validate the boundary definition: what counts as an 'Addepar platform improvement' vs BBH work product must be defined before build starts, not litigated at exit.</w:t>
            </w:r>
          </w:p>
        </w:tc>
      </w:tr>
    </w:tbl>
    <w:p>
      <w:pPr>
        <w:pStyle w:val="Heading1"/>
        <w:spacing w:after="100" w:before="220"/>
      </w:pPr>
      <w:r>
        <w:rPr>
          <w:rFonts w:ascii="Calibri" w:cs="Calibri" w:eastAsia="Calibri" w:hAnsi="Calibri"/>
          <w:b/>
          <w:bCs/>
          <w:color w:val="A6192E"/>
          <w:sz w:val="24"/>
          <w:szCs w:val="24"/>
        </w:rPr>
        <w:t xml:space="preserve">J. Portability &amp; Exit</w:t>
      </w:r>
    </w:p>
    <w:tbl>
      <w:tblPr>
        <w:tblW w:type="dxa" w:w="14000"/>
        <w:tblBorders>
          <w:top w:val="single" w:color="BFBFBF" w:sz="4"/>
          <w:left w:val="single" w:color="BFBFBF" w:sz="4"/>
          <w:bottom w:val="single" w:color="BFBFBF" w:sz="4"/>
          <w:right w:val="single" w:color="BFBFBF" w:sz="4"/>
          <w:insideH w:val="single" w:color="D9D9D9" w:sz="4"/>
          <w:insideV w:val="single" w:color="D9D9D9" w:sz="4"/>
        </w:tblBorders>
      </w:tblPr>
      <w:tblGrid>
        <w:gridCol w:w="4600"/>
        <w:gridCol w:w="1500"/>
        <w:gridCol w:w="7900"/>
      </w:tblGrid>
      <w:tr>
        <w:trPr>
          <w:tblHeader/>
        </w:trPr>
        <w:tc>
          <w:tcPr>
            <w:tcW w:type="dxa" w:w="46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Question</w:t>
            </w:r>
          </w:p>
        </w:tc>
        <w:tc>
          <w:tcPr>
            <w:tcW w:type="dxa" w:w="15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79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The Ask / Validation</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Can BBH export all data, code, metadata, UC definitions, lineage, job configs, permissions, logs, and model artifacts?</w:t>
            </w:r>
          </w:p>
        </w:tc>
        <w:tc>
          <w:tcPr>
            <w:tcW w:type="dxa" w:w="1500"/>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the enumerated exit schedule (Summary Q10) with each artifact class, format, delivery mechanism, and timeline. Exercise a partial export annually as a control.</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Will exports be in open, usable formats?</w:t>
            </w:r>
          </w:p>
        </w:tc>
        <w:tc>
          <w:tcPr>
            <w:tcW w:type="dxa" w:w="1500"/>
            <w:shd w:fill="F2F2F2" w:val="clear"/>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Validate formats: Delta/Parquet for data, SQL DDL for catalog objects and grants, DAB YAML/JSON for jobs, API-based export for lineage and audit. Proprietary export formats defeat the purpose.</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Can workloads move to Databricks on Azure without extensive redesign?</w:t>
            </w:r>
          </w:p>
        </w:tc>
        <w:tc>
          <w:tcPr>
            <w:tcW w:type="dxa" w:w="1500"/>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Strongest validation available: redeploy one representative pipeline to a BBH Azure Databricks workspace as an exit rehearsal during or shortly after the PoC.</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Are Addepar-proprietary frameworks, APIs, orchestration services, or data structures required?</w:t>
            </w:r>
          </w:p>
        </w:tc>
        <w:tc>
          <w:tcPr>
            <w:tcW w:type="dxa" w:w="1500"/>
            <w:shd w:fill="F2F2F2" w:val="clear"/>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the dependency inventory and classify each as open-standard vs Addepar-proprietary. Proprietary items in the critical path are the true switching cost.</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Would moving to BBH Azure require rewriting pipelines, rebuilding security, recreating lineage, reconfiguring identity, revalidating models, replacing AWS services?</w:t>
            </w:r>
          </w:p>
        </w:tc>
        <w:tc>
          <w:tcPr>
            <w:tcW w:type="dxa" w:w="1500"/>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Turn the answer into an exit-cost estimate and include it in TCO. If exit cost is unbounded, the commercial negotiation must compensate (term length, price protection, escrow).</w:t>
            </w:r>
          </w:p>
        </w:tc>
      </w:tr>
    </w:tbl>
    <w:p>
      <w:pPr>
        <w:pStyle w:val="Heading1"/>
        <w:spacing w:after="100" w:before="220"/>
      </w:pPr>
      <w:r>
        <w:rPr>
          <w:rFonts w:ascii="Calibri" w:cs="Calibri" w:eastAsia="Calibri" w:hAnsi="Calibri"/>
          <w:b/>
          <w:bCs/>
          <w:color w:val="A6192E"/>
          <w:sz w:val="24"/>
          <w:szCs w:val="24"/>
        </w:rPr>
        <w:t xml:space="preserve">K. Resilience, DR &amp; Continuity</w:t>
      </w:r>
    </w:p>
    <w:tbl>
      <w:tblPr>
        <w:tblW w:type="dxa" w:w="14000"/>
        <w:tblBorders>
          <w:top w:val="single" w:color="BFBFBF" w:sz="4"/>
          <w:left w:val="single" w:color="BFBFBF" w:sz="4"/>
          <w:bottom w:val="single" w:color="BFBFBF" w:sz="4"/>
          <w:right w:val="single" w:color="BFBFBF" w:sz="4"/>
          <w:insideH w:val="single" w:color="D9D9D9" w:sz="4"/>
          <w:insideV w:val="single" w:color="D9D9D9" w:sz="4"/>
        </w:tblBorders>
      </w:tblPr>
      <w:tblGrid>
        <w:gridCol w:w="4600"/>
        <w:gridCol w:w="1500"/>
        <w:gridCol w:w="7900"/>
      </w:tblGrid>
      <w:tr>
        <w:trPr>
          <w:tblHeader/>
        </w:trPr>
        <w:tc>
          <w:tcPr>
            <w:tcW w:type="dxa" w:w="46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Question</w:t>
            </w:r>
          </w:p>
        </w:tc>
        <w:tc>
          <w:tcPr>
            <w:tcW w:type="dxa" w:w="15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7900"/>
            <w:shd w:fill="A6192E" w:val="clear"/>
            <w:tcMar>
              <w:top w:type="dxa" w:w="80"/>
              <w:left w:type="dxa" w:w="120"/>
              <w:bottom w:type="dxa" w:w="80"/>
              <w:right w:type="dxa" w:w="120"/>
            </w:tcMar>
          </w:tcPr>
          <w:p>
            <w:r>
              <w:rPr>
                <w:rFonts w:ascii="Calibri" w:cs="Calibri" w:eastAsia="Calibri" w:hAnsi="Calibri"/>
                <w:b/>
                <w:bCs/>
                <w:color w:val="FFFFFF"/>
                <w:sz w:val="19"/>
                <w:szCs w:val="19"/>
              </w:rPr>
              <w:t xml:space="preserve">The Ask / Validation</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Contractual RTO and RPO?</w:t>
            </w:r>
          </w:p>
        </w:tc>
        <w:tc>
          <w:tcPr>
            <w:tcW w:type="dxa" w:w="1500"/>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numeric RTO/RPO commitments in the contract per service tier — not marketing language. Map them against BBH's own recovery objectives for downstream consumers.</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DR implemented in a separate AWS region or account?</w:t>
            </w:r>
          </w:p>
        </w:tc>
        <w:tc>
          <w:tcPr>
            <w:tcW w:type="dxa" w:w="1500"/>
            <w:shd w:fill="F2F2F2" w:val="clear"/>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Validate via architecture evidence. Same-region, same-account 'DR' is backup, not disaster recovery.</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Are backups and recovery environments isolated from Addepar's primary administrative boundary?</w:t>
            </w:r>
          </w:p>
        </w:tc>
        <w:tc>
          <w:tcPr>
            <w:tcW w:type="dxa" w:w="1500"/>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Ask specifically about immutability and separate administrative control — this is the ransomware / account-compromise scenario. Backups reachable by the same compromised admin plane are not a safeguard.</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How frequently does Addepar test recovery?</w:t>
            </w:r>
          </w:p>
        </w:tc>
        <w:tc>
          <w:tcPr>
            <w:tcW w:type="dxa" w:w="1500"/>
            <w:shd w:fill="F2F2F2" w:val="clear"/>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Validate at least annual full recovery testing with documented results — consistent with NYDFS BCP expectations.</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Can BBH observe or participate in recovery exercises?</w:t>
            </w:r>
          </w:p>
        </w:tc>
        <w:tc>
          <w:tcPr>
            <w:tcW w:type="dxa" w:w="1500"/>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observation rights or, minimum, timely attestations after each exercise.</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Will BBH receive documented test results and remediation plans?</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these as contractual deliverables feeding BBH's third-party risk evidence file.</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What happens if the entire Addepar AWS account is compromised or unavailable?</w:t>
            </w:r>
          </w:p>
        </w:tc>
        <w:tc>
          <w:tcPr>
            <w:tcW w:type="dxa" w:w="1500"/>
            <w:tcMar>
              <w:top w:type="dxa" w:w="70"/>
              <w:left w:type="dxa" w:w="120"/>
              <w:bottom w:type="dxa" w:w="70"/>
              <w:right w:type="dxa" w:w="120"/>
            </w:tcMar>
          </w:tcPr>
          <w:p>
            <w:r>
              <w:rPr>
                <w:rFonts w:ascii="Calibri" w:cs="Calibri" w:eastAsia="Calibri" w:hAnsi="Calibri"/>
                <w:b/>
                <w:bCs/>
                <w:color w:val="B26A00"/>
                <w:sz w:val="18"/>
                <w:szCs w:val="18"/>
              </w:rPr>
              <w:t xml:space="preserve">Accept / Compensate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No vendor answers this well. Strongest compensating control: a continuously refreshed, BBH-controlled data copy via Delta Sharing into BBH-owned storage, so a total Addepar failure never strands the data. Make this a condition of the deal.</w:t>
            </w:r>
          </w:p>
        </w:tc>
      </w:tr>
      <w:tr>
        <w:tc>
          <w:tcPr>
            <w:tcW w:type="dxa" w:w="46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Is there a continuity mechanism if Addepar cannot operate the service?</w:t>
            </w:r>
          </w:p>
        </w:tc>
        <w:tc>
          <w:tcPr>
            <w:tcW w:type="dxa" w:w="1500"/>
            <w:shd w:fill="F2F2F2" w:val="clear"/>
            <w:tcMar>
              <w:top w:type="dxa" w:w="70"/>
              <w:left w:type="dxa" w:w="120"/>
              <w:bottom w:type="dxa" w:w="70"/>
              <w:right w:type="dxa" w:w="120"/>
            </w:tcMar>
          </w:tcPr>
          <w:p>
            <w:r>
              <w:rPr>
                <w:rFonts w:ascii="Calibri" w:cs="Calibri" w:eastAsia="Calibri" w:hAnsi="Calibri"/>
                <w:b/>
                <w:bCs/>
                <w:color w:val="1F4E79"/>
                <w:sz w:val="18"/>
                <w:szCs w:val="18"/>
              </w:rPr>
              <w:t xml:space="preserve">Ask</w:t>
            </w:r>
          </w:p>
        </w:tc>
        <w:tc>
          <w:tcPr>
            <w:tcW w:type="dxa" w:w="7900"/>
            <w:shd w:fill="F2F2F2" w:val="clear"/>
            <w:tcMar>
              <w:top w:type="dxa" w:w="70"/>
              <w:left w:type="dxa" w:w="120"/>
              <w:bottom w:type="dxa" w:w="70"/>
              <w:right w:type="dxa" w:w="120"/>
            </w:tcMar>
          </w:tcPr>
          <w:p>
            <w:r>
              <w:rPr>
                <w:rFonts w:ascii="Calibri" w:cs="Calibri" w:eastAsia="Calibri" w:hAnsi="Calibri"/>
                <w:b w:val="false"/>
                <w:bCs w:val="false"/>
                <w:color w:val="1F1F1F"/>
                <w:sz w:val="18"/>
                <w:szCs w:val="18"/>
              </w:rPr>
              <w:t xml:space="preserve">Ask for a data/code escrow arrangement plus the standing Delta Share above. Also review Addepar's own dependency concentration (financial viability, key-vendor terms) in the TPRM assessment.</w:t>
            </w:r>
          </w:p>
        </w:tc>
      </w:tr>
      <w:tr>
        <w:tc>
          <w:tcPr>
            <w:tcW w:type="dxa" w:w="4600"/>
            <w:tcMar>
              <w:top w:type="dxa" w:w="70"/>
              <w:left w:type="dxa" w:w="120"/>
              <w:bottom w:type="dxa" w:w="70"/>
              <w:right w:type="dxa" w:w="120"/>
            </w:tcMar>
          </w:tcPr>
          <w:p>
            <w:r>
              <w:rPr>
                <w:rFonts w:ascii="Calibri" w:cs="Calibri" w:eastAsia="Calibri" w:hAnsi="Calibri"/>
                <w:b w:val="false"/>
                <w:bCs w:val="false"/>
                <w:color w:val="1F1F1F"/>
                <w:sz w:val="18"/>
                <w:szCs w:val="18"/>
              </w:rPr>
              <w:t xml:space="preserve">How would Addepar support BBH during an AWS regional outage?</w:t>
            </w:r>
          </w:p>
        </w:tc>
        <w:tc>
          <w:tcPr>
            <w:tcW w:type="dxa" w:w="1500"/>
            <w:tcMar>
              <w:top w:type="dxa" w:w="70"/>
              <w:left w:type="dxa" w:w="120"/>
              <w:bottom w:type="dxa" w:w="70"/>
              <w:right w:type="dxa" w:w="120"/>
            </w:tcMar>
          </w:tcPr>
          <w:p>
            <w:r>
              <w:rPr>
                <w:rFonts w:ascii="Calibri" w:cs="Calibri" w:eastAsia="Calibri" w:hAnsi="Calibri"/>
                <w:b/>
                <w:bCs/>
                <w:color w:val="2E7D32"/>
                <w:sz w:val="18"/>
                <w:szCs w:val="18"/>
              </w:rPr>
              <w:t xml:space="preserve">Validate</w:t>
            </w:r>
          </w:p>
        </w:tc>
        <w:tc>
          <w:tcPr>
            <w:tcW w:type="dxa" w:w="7900"/>
            <w:tcMar>
              <w:top w:type="dxa" w:w="70"/>
              <w:left w:type="dxa" w:w="120"/>
              <w:bottom w:type="dxa" w:w="70"/>
              <w:right w:type="dxa" w:w="120"/>
            </w:tcMar>
          </w:tcPr>
          <w:p>
            <w:r>
              <w:rPr>
                <w:rFonts w:ascii="Calibri" w:cs="Calibri" w:eastAsia="Calibri" w:hAnsi="Calibri"/>
                <w:b w:val="false"/>
                <w:bCs w:val="false"/>
                <w:color w:val="1F1F1F"/>
                <w:sz w:val="18"/>
                <w:szCs w:val="18"/>
              </w:rPr>
              <w:t xml:space="preserve">Validate the documented failover runbook, expected degradation mode, communication cadence, and whether BBH's standing data copy remains accessible throughout.</w:t>
            </w:r>
          </w:p>
        </w:tc>
      </w:tr>
    </w:tbl>
    <w:sectPr>
      <w:pgSz w:w="15840" w:h="12240" w:orient="landscape"/>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2026-07-24T16:16:09.556Z</dcterms:created>
  <dcterms:modified xsi:type="dcterms:W3CDTF">2026-07-24T16:16:09.570Z</dcterms:modified>
</cp:coreProperties>
</file>

<file path=docProps/custom.xml><?xml version="1.0" encoding="utf-8"?>
<Properties xmlns="http://schemas.openxmlformats.org/officeDocument/2006/custom-properties" xmlns:vt="http://schemas.openxmlformats.org/officeDocument/2006/docPropsVTypes"/>
</file>