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E1B4B"/>
          <w:sz w:val="52"/>
          <w:szCs w:val="52"/>
        </w:rPr>
        <w:t xml:space="preserve">AI DESIGN PATTERN CATALOG</w:t>
      </w:r>
    </w:p>
    <w:p>
      <w:pPr>
        <w:spacing w:after="60"/>
      </w:pPr>
      <w:r>
        <w:rPr>
          <w:i/>
          <w:iCs/>
          <w:color w:val="64748B"/>
          <w:sz w:val="24"/>
          <w:szCs w:val="24"/>
        </w:rPr>
        <w:t xml:space="preserve">A reference for AI implementation architects: what each pattern is, when to use it, and what it costs you.</w:t>
      </w:r>
    </w:p>
    <w:p>
      <w:pPr>
        <w:pBdr>
          <w:bottom w:val="single" w:color="4F46E5" w:sz="8" w:space="4"/>
        </w:pBdr>
        <w:spacing w:after="240"/>
      </w:pPr>
      <w:r>
        <w:rPr>
          <w:color w:val="7C3AED"/>
          <w:sz w:val="20"/>
          <w:szCs w:val="20"/>
        </w:rPr>
        <w:t xml:space="preserve">Ten pattern families · 71 patterns · Agentic scenarios, evaluation design, failure modes &amp; anti-patterns · Reference Edition 2026</w:t>
      </w:r>
    </w:p>
    <w:p>
      <w:pPr>
        <w:pStyle w:val="Heading1"/>
      </w:pPr>
      <w:r>
        <w:t xml:space="preserve">How to Use This Catalog</w:t>
      </w:r>
    </w:p>
    <w:p>
      <w:pPr>
        <w:spacing w:after="120"/>
      </w:pPr>
      <w:r>
        <w:t xml:space="preserve">Patterns are organized by architectural layer, ordered roughly by cost and complexity: prompting is cheapest, model adaptation and multi-agent systems are most expensive. The selection discipline is the same at every layer — start at the simplest pattern that could work, define an evaluation and a baseline before building, and escalate to a heavier pattern only when measured results prove the lighter one insufficient.</w:t>
      </w:r>
    </w:p>
    <w:p>
      <w:pPr>
        <w:spacing w:after="120"/>
      </w:pPr>
      <w:r>
        <w:t xml:space="preserve">Three columns matter for every pattern: what it is (so the team shares vocabulary), when to use it (the fit criteria), and the trade-offs (what it costs in money, latency, operational burden, or risk). A pattern adopted without acknowledging its trade-off column is technical debt with a press release.</w:t>
      </w:r>
    </w:p>
    <w:p>
      <w:pPr>
        <w:pStyle w:val="Heading1"/>
      </w:pPr>
      <w:r>
        <w:t xml:space="preserve">1. Prompting Patterns</w:t>
      </w:r>
    </w:p>
    <w:p>
      <w:pPr>
        <w:spacing w:after="160"/>
      </w:pPr>
      <w:r>
        <w:rPr>
          <w:i/>
          <w:iCs/>
          <w:color w:val="64748B"/>
        </w:rPr>
        <w:t xml:space="preserve">The cheapest, fastest layer of control. Exhaust these before paying for retrieval infrastructure, fine-tuning, or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 / 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Zero-shot / few-shot prompting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 the model directly; optionally include 2–5 worked examples in the prompt.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starting point for every task. Few-shot when output format or judgment style must be demonstrated, not described.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Examples consume context and anchor the model — biased examples produce biased outputs. Token cost grows per call.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the model to reason step by step before answering.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Math, multi-step logic, policy application, anything where the path to the answer matters.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Slower and costlier; reasoning text can leak into output — separate reasoning from the final answer field.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Structured output (schema / function calling)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Constrain output to a JSON schema or typed function signature.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output consumed by downstream code. Non-negotiable for integration work.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rigidity can truncate nuance; always validate and retry on parse failure rather than trusting the contract.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Prompt chaining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Decompose a task into sequential prompts where each output feeds the next.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Complex transformations — extract, then classify, then summarize. Easier to test each link than one mega-prompt.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Errors compound down the chain; latency multiplies. Add validation between links.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Prompt templating &amp; versioning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Treat prompts as versioned, parameterized artifacts in source control.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Always, from the first production deployment. A prompt change is a code change.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discipline and CI evals; uncontrolled prompt edits in production are the most common silent regression.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Role / persona prompting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 the model a role (“you are a senior credit analyst”) to shape tone and judgment.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Domain-specific tone, audience adaptation, review-style tasks.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 is a style lever, not a knowledge lever — it does not add domain facts the model lacks.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Retrieval &amp; Grounding Patterns</w:t>
      </w:r>
    </w:p>
    <w:p>
      <w:pPr>
        <w:spacing w:after="160"/>
      </w:pPr>
      <w:r>
        <w:rPr>
          <w:i/>
          <w:iCs/>
          <w:color w:val="64748B"/>
        </w:rPr>
        <w:t xml:space="preserve">Patterns that connect the model to enterprise knowledge so answers are current, private-data-aware, and auditable.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 / 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 relevant documents at query time and inject them into the prompt as grounding context.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Answers depend on private, changing, or voluminous knowledge. The workhorse enterprise pattern.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 is bounded by retrieval quality — garbage in, confident garbage out. Requires ingestion and freshness pipelines.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Hybrid retrieval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Combine dense vector search with keyword search (BM25) and merge results.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Corpora containing IDs, codes, ticker symbols, or exact phrases that embeddings miss.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indexes to operate and tune; score fusion needs calibration.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Reranking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cross-encoder re-scores the top-k candidates for relevance before they reach the prompt.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first-pass retrieval is noisy and precision in the top 3–5 results matters.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latency per query; reranker model is one more component to evaluate and version.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documents on meaning boundaries (sections, tables, headings) rather than fixed token counts.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preferable for structured documents — contracts, policies, filings.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complex ingestion logic; chunk size remains the single biggest retrieval-quality lever and needs per-corpus tuning.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Metadata filtering / scoped retrieval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 chunks with entity, date, classification, and source; filter before similarity search.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Multi-tenant or entitlement-sensitive corpora; time-bounded questions.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Entitlement filtering must happen in retrieval, never post-generation — leaked context cannot be un-shown to the model.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GraphRAG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 backed by a knowledge graph capturing entities and relationships, not just text similarity.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Multi-hop questions (“which funds hold issuers downgraded last quarter?”) that flat retrieval cannot join.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construction and maintenance is expensive; justify with eval evidence that flat RAG fails.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Query rewriting / HyDE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Rewrite or expand the user query (or generate a hypothetical answer document) before embedding it.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Short, ambiguous, or conversational queries that embed poorly as-is.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 model call per query; rewrites can drift from user intent — log both forms.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Citation-or-silence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factual claim must carry a source span from retrieval; otherwise the model abstains.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Regulated, client-facing, or audit-sensitive output. The grounding contract.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abstentions and “I don’t know” responses — a feature, but set user expectations.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Agentic Patterns</w:t>
      </w:r>
    </w:p>
    <w:p>
      <w:pPr>
        <w:spacing w:after="160"/>
      </w:pPr>
      <w:r>
        <w:rPr>
          <w:i/>
          <w:iCs/>
          <w:color w:val="64748B"/>
        </w:rPr>
        <w:t xml:space="preserve">Patterns for multi-step, tool-using workflows. Rule of thumb: pick the least autonomous pattern that completes the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 / 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Tool use / function calling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model invokes typed tools (search, SQL, APIs) and incorporates results.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Whenever the answer requires live data or actions outside the model’s weights. Foundation of all agent patterns.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tool is attack surface and failure surface — scope credentials tightly and log every call.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ReAct loop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Iterative reason → act → observe cycle until the goal is met.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Exploratory tasks with uncertain step counts — debugging, research, triage.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loop or drift; cap iterations, tokens, and wall-clock per task.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Plan-then-execute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planner drafts the full task graph up front; executors run steps with checkpoints.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Long, auditable workflows — migrations, report assembly — where the plan itself can be reviewed.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Plans go stale when steps fail; build re-planning on failure rather than blind retry.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Orchestrator–workers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lead agent decomposes work and routes to specialized sub-agents or tools.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Heterogeneous tasks spanning domains — a SQL agent plus a document agent plus an API agent.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is lost at hand-offs; pass shared state explicitly, never assume the worker “knows.”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Reflection / evaluator–optimizer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critic pass scores and revises the generator’s output before release.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Quality-critical output: code, legal drafts, client communications.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Roughly doubles cost and latency; reserve for high-stakes paths, not every call.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Multi-agent debate / consensus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agents argue or vote; an adjudicator selects the answer.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High-ambiguity judgment calls where diverse perspectives measurably improve accuracy.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Expensive and hard to debug; demands strong eval evidence that it beats one good model with reflection.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Memory patterns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Short-term scratchpads for the current task; long-term stores for durable preferences and facts.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Multi-session assistants and long-running workflows that must not re-ask known facts.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is a privacy and poisoning surface — govern what is written, retained, and retrievable.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Human-in-the-loop gates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checkpoints before the agent takes irreversible actions.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writes, payments, client sends, production deploys — anywhere errors cannot be undone.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Gates become rubber stamps if they fire too often; tier them by blast radius.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Agentic Implementation Scenarios</w:t>
      </w:r>
    </w:p>
    <w:p>
      <w:pPr>
        <w:spacing w:after="160"/>
      </w:pPr>
      <w:r>
        <w:rPr>
          <w:i/>
          <w:iCs/>
          <w:color w:val="64748B"/>
        </w:rPr>
        <w:t xml:space="preserve">How the agentic patterns of Section 3 are actually built, and how they compose into real systems.</w:t>
      </w:r>
    </w:p>
    <w:p>
      <w:pPr>
        <w:spacing w:after="100" w:before="220"/>
      </w:pPr>
      <w:r>
        <w:rPr>
          <w:b/>
          <w:bCs/>
          <w:color w:val="4F46E5"/>
          <w:sz w:val="24"/>
          <w:szCs w:val="24"/>
        </w:rPr>
        <w:t xml:space="preserve">Part A — Implementing each agentic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700"/>
        <w:gridCol w:w="2460"/>
      </w:tblGrid>
      <w:tr>
        <w:trPr>
          <w:tblHeader/>
        </w:trP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mechanic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decisions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Tool use / function calling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 defined as typed schemas; the model emits a call request; the runtime executes and returns the result.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registry (code-defined or MCP); executor with per-tool timeout and auth check; result formatter that truncates and structures output before re-entering context.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descriptions are prompts — write them like documentation. Return errors as structured data the model can recover from, never raw stack traces.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ReAct loop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controlled loop: reason → tool call → observation appended → repeat until final answer or budget breach.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Loop controller with hard caps (iterations, tokens, wall-clock); scratchpad holding thought/action/observation history; termination checked before each model call.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breach must exit gracefully with partial results and a reason — not an exception. Every iteration is a trace span.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Plan-then-execute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one produces a structured plan (steps + dependencies); a deterministic executor walks the graph.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schema validated before execution; state checkpointed after each step (resumable); re-plan trigger feeds the failed plan and error back to the planner.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plan is a reviewable artifact — surface it for human approval on high-tier use cases before execution. This is where HITL is cheapest.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Orchestrator–workers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lead agent classifies and dispatches to specialized sub-agents, each with its own prompt and scoped toolset.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 shared-state object passed at hand-off (task spec, constraints, prior results); result contracts per worker so the orchestrator can merge; workers run with narrower credentials than the orchestrator.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by classification first; decompose only when one worker provably cannot handle it — decomposition is where context is lost and cost balloons.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Reflection / evaluator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Generator produces; critic scores against an explicit rubric; below threshold, the generator revises with the critique as input.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Rubric versioned like a prompt; critic uses a different prompt — ideally a different model — than the generator; threshold and round cap (2–3) configured per use case.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Reserve for expensive-mistake paths. Pipe critic scores into observability — they are a free production quality signal.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Memory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Short-term scratchpad in-context; long-term store written via explicit save decisions, retrieved at session start.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policy (never secrets or credentials); retrieval policy (relevance-filtered, token-capped); expiry and user-visible correction path.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is a poisoning and privacy surface — treat writes like database writes: validated, attributable, deletable.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HITL gates</w:t>
            </w:r>
          </w:p>
        </w:tc>
        <w:tc>
          <w:tcPr>
            <w:tcW w:type="dxa" w:w="2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an irreversible tool executes, the task parks, emits an approval request, and resumes only on signed approval.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 task state that survives waiting hours; approval UI showing exactly what will execute; approval identity logged to the audit trail; stale requests auto-expire.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gates by blast radius — gate the payment, not the read query, or reviewers go blind from volume and rubber-stamp everything.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b/>
          <w:bCs/>
          <w:color w:val="4F46E5"/>
          <w:sz w:val="24"/>
          <w:szCs w:val="24"/>
        </w:rPr>
        <w:t xml:space="preserve">Part B — Worked scenarios: pattern → implementation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Patterns composed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sketch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Document intake agent (KYC / contract extraction)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output + prompt chaining + reflection + HITL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Chain: classify document type → extract against the per-type schema → critic validates each field against source spans → below-threshold confidence routes to a human queue; approved results write downstream through a gated tool.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Analytics agent (NL-to-SQL)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use + semantic layer + plan-then-execute + circuit breaker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Planner maps the question to certified metrics; SQL is generated only against semantic-layer views; dry-run / EXPLAIN before execution; row-limit and cost guards; deterministic fallback to an “ask an analyst” hand-off when confidence or guards trip.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Pipeline operations agent (orchestrator / transformation triage)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orchestrator–workers + memory + least privilege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Orchestrator routes the alert to a log-reader worker holding read-only observability credentials; ReAct diagnosis loop capped at ten iterations; output is a remediation proposal only — the fix itself executes behind a HITL gate.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Code migration agent (legacy rule conversion)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Plan-then-execute + reflection + golden-set regression + strangler fig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is a per-object conversion graph; each converted object is critic-reviewed, then validated by running old and new logic against reconciliation data; only parity-proven objects cut over, the rest stay on the legacy path.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Client communications drafting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 + citations + reflection + shadow deployment + HITL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over approved templates and policy documents; every claim cited; critic checks a tone-and-compliance rubric; the system runs in shadow against human drafts before assist mode; a human always sends.</w:t>
            </w:r>
          </w:p>
        </w:tc>
      </w:tr>
    </w:tbl>
    <w:p>
      <w:pPr>
        <w:spacing w:after="120"/>
      </w:pPr>
    </w:p>
    <w:p>
      <w:pPr>
        <w:spacing w:after="100" w:before="220"/>
      </w:pPr>
      <w:r>
        <w:rPr>
          <w:b/>
          <w:bCs/>
          <w:color w:val="4F46E5"/>
          <w:sz w:val="24"/>
          <w:szCs w:val="24"/>
        </w:rPr>
        <w:t xml:space="preserve">Part C — Cross-cutting implementation rules for any agent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agent loop is application code you own — frameworks help, but budgets, state, and gates remain your responsibility regardless of the framework.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Every agent has four budgets defined before launch: iterations, tokens, cost, and wall-clock.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State must be externalized (database, not process memory) the moment HITL gates or long-running tasks exist.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One trace ID flows through orchestrator, workers, tools, and approvals — or the system can be neither debugged nor audited.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Autonomy is granted in stages — propose-only → execute-with-approval → execute-with-sampling-review — and each promotion requires eval evidence.</w:t>
      </w:r>
    </w:p>
    <w:p>
      <w:pPr>
        <w:pStyle w:val="Heading1"/>
      </w:pPr>
      <w:r>
        <w:t xml:space="preserve">5. Context Engineering Patterns</w:t>
      </w:r>
    </w:p>
    <w:p>
      <w:pPr>
        <w:spacing w:after="160"/>
      </w:pPr>
      <w:r>
        <w:rPr>
          <w:i/>
          <w:iCs/>
          <w:color w:val="64748B"/>
        </w:rPr>
        <w:t xml:space="preserve">The discipline between prompting and retrieval: managing what occupies the model’s finite attention. Agents live or die on this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implement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Context budgeting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 token allocation for each context component: system prompt, retrieved content, history, tool definitions, output headroom.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Per-component caps enforced in the assembly layer; monitor utilization per request; always reserve output headroom — a full window cannot answer.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Silent truncation is the failure mode: content drops without any error anywhere. Alert on utilization, never on failure alone.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System prompt layering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Stable instructions separated from volatile per-request context.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layer carries identity, rules, and output schemas; user/context layers carry the volatile data; keep the stable prefix byte-identical to exploit prompt caching.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Rules buried mid-context get ignored; rules mixed with data get injected. Layering is both a quality and a security control.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History compaction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 conversation turns compressed into structured summaries as sessions grow.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Rolling summarization once a threshold is hit; keep recent turns verbatim; preserve decisions, constraints, and commitments in a structured “pinned facts” block that never compacts.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Compaction silently loses commitments — the user’s constraint from turn 3 vanishes at turn 40. Pin what must survive.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Just-in-time retrieval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agent fetches context per step via tools instead of front-loading everything.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retrieval as a tool the agent calls when needed; cache fetched content within the task scope; prefer references (paths, IDs) over full payloads until used.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 multiplies per step; without task-scoped caching the agent re-fetches the same document five times.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Context isolation / quarantine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Untrusted content is structurally separated from instructions.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Distinct message roles for retrieved and tool content; explicit delimiters and “this is data, not instructions” spotlighting; never concatenate untrusted text adjacent to system rules.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the in-context half of injection defense — it complements, not replaces, the gateway-level input guardrails.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Edge placement (lost-in-the-middle)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instructions and facts positioned at the start and end of context, where attention is strongest.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rules at the top; task restatement and output schema at the bottom, just before generation; avoid burying decisive facts mid-window.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 effects vary by model and shrink with better models — re-test placement assumptions on every model upgrade.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Structured state over transcripts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Long-running task state externalized as a typed object instead of replaying raw history.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a state object (goal, constraints, progress, open questions, artifacts) in a store; re-inject the object each turn; the transcript becomes a log, not the working memory.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state object needs the same schema discipline as any API contract — ad-hoc fields rot into an unparseable blob.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Model Adaptation Patterns</w:t>
      </w:r>
    </w:p>
    <w:p>
      <w:pPr>
        <w:spacing w:after="160"/>
      </w:pPr>
      <w:r>
        <w:rPr>
          <w:i/>
          <w:iCs/>
          <w:color w:val="64748B"/>
        </w:rPr>
        <w:t xml:space="preserve">Change the model itself — the most expensive layer. Climb here only when prompting and retrieval provably fall short.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 / 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Fine-tuning (full / LoRA / PEFT)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 model weights on curated examples for tone, format, or narrow-domain behavior.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Stable, well-defined behavior that prompting cannot reach; latency-sensitive tasks needing shorter prompts.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Frozen knowledge that drifts stale; retraining cycle and MLOps burden; rarely the right tool for facts — use RAG for facts.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Distillation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large model generates training data to teach a smaller, cheaper model.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High-volume, narrow tasks where a small model at 10× lower cost hits the quality bar.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 inherits teacher’s errors; licensing terms on teacher outputs need legal review.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Model cascading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to a cheap model first; escalate to a stronger one on low confidence or failure.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Cost optimization at scale when most traffic is easy and a minority is hard.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signals are imperfect; mis-routing hard queries to the weak model hurts exactly the users who matter.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Ensemble / self-consistency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multiple generations and vote, or merge outputs across models.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Accuracy-critical classification and reasoning where marginal accuracy is worth N× the cost.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cost multiplication; diminishing returns past 3–5 samples.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Serving &amp; Integration Patterns</w:t>
      </w:r>
    </w:p>
    <w:p>
      <w:pPr>
        <w:spacing w:after="160"/>
      </w:pPr>
      <w:r>
        <w:rPr>
          <w:i/>
          <w:iCs/>
          <w:color w:val="64748B"/>
        </w:rPr>
        <w:t xml:space="preserve">How AI capability is delivered to applications — and how legacy estates adopt it without rewrites.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 / 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Model gateway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service that handles routing, fallback, quotas, caching, auth, and audit across providers.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Mandatory once more than one application or one provider exists. Decouples apps from vendors.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new tier-0 dependency — the gateway needs the HA, capacity, and on-call story of any critical service.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Semantic caching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responses keyed on embedding similarity, not exact string match.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High-traffic assistants with repetitive question distributions; large cost and latency wins.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Stale or subtly-wrong cache hits are hard to detect; scope caches by user entitlement and data freshness.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Batch vs. streaming inference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work in offline batches versus token-streamed interactive responses.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for pipelines (document backlogs, enrichment); streaming for anything a human is watching.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hides per-item failures — design dead-letter handling; streaming complicates guardrail placement (you filter mid-flight).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Sidecar / adapter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 AI capability alongside an existing application via API or message bus, leaving the core untouched.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Adding AI to legacy systems that cannot be modified — enrichment, summarization, classification at the edges.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seams multiply; the sidecar can become a shadow system with its own drift.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Strangler fig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Incrementally route traffic from rule-based logic to AI components, retiring rules as evals prove parity.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Migrating mature deterministic estates — routing rules, classification trees — without big-bang risk.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Dual-run period doubles operating cost; needs a comparison harness to prove parity before each cutover.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Circuit breaker with deterministic fallback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model failure, timeout, or budget breach, fail over to a rules-based or cached path.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production AI feature. The model is a dependency that will be down or slow.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fallback path rots if never exercised — test it like disaster recovery.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Safety &amp; Quality Patterns</w:t>
      </w:r>
    </w:p>
    <w:p>
      <w:pPr>
        <w:spacing w:after="160"/>
      </w:pPr>
      <w:r>
        <w:rPr>
          <w:i/>
          <w:iCs/>
          <w:color w:val="64748B"/>
        </w:rPr>
        <w:t xml:space="preserve">The patterns that separate a demo from a system. Most are cheap to design in and prohibitively expensive to retrofit.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 / 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Input / output guardrails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and classify inputs (injection defense, PII redaction); filter outputs against policy.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production deployment. Treat retrieved documents and tool outputs as untrusted input too.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Guardrail models add latency and false positives; tune on real traffic, not synthetic examples.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Calibrated abstention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Below a confidence or retrieval-score threshold, the system says “I don’t know” or routes to a human.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Anywhere a wrong answer is costlier than no answer — most regulated use cases.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Thresholds need calibration per task; over-abstention erodes user trust as fast as wrong answers do.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LLM-as-judge evaluation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model scores outputs against a rubric, calibrated against human graders.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Scaling evaluation beyond what humans can grade; CI quality gates.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Judges have biases (verbosity, self-preference); recalibrate against humans periodically and never let the judge share the generator’s blind spots.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Golden-set regression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Curated eval datasets run on every prompt, model, or index change; thresholds gate promotion.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day one of any build. The eval and the baseline come before the first line of code.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Golden sets go stale; mine production failures into new cases continuously.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Shadow deployment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the AI silently alongside the human process; compare outputs before granting it real traffic.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De-risking cutovers in high-stakes workflows; building the evidence pack for sign-off.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Doubles processing cost during the shadow period; needs tooling to diff and adjudicate disagreements.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Full audit trail / replayability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prompt, retrieved context, model and version, parameters, output, and human decision per call.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Regulated industries: non-negotiable. Elsewhere: still the foundation of debugging and improvement.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contain sensitive data — the audit store needs the same classification controls as the source data.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Evaluation Design in Depth</w:t>
      </w:r>
    </w:p>
    <w:p>
      <w:pPr>
        <w:spacing w:after="160"/>
      </w:pPr>
      <w:r>
        <w:rPr>
          <w:i/>
          <w:iCs/>
          <w:color w:val="64748B"/>
        </w:rPr>
        <w:t xml:space="preserve">“Build evals” appears throughout this catalog. This section is the how. An eval is itself a designed artifact with failure modes of its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good looks like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mistake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Golden-set construction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30–50 cases minimum per use case to start, stratified across happy paths, edge cases, adversarial inputs, and cases where abstention is the correct answer. Sourced from real queries; refreshed continuously by mining production failures into new cases.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Fifty happy-path cases written by the team that built the prompt — measuring agreement with their own assumptions, not quality.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Rubric writing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Criteria that are observable and binary where possible; scored per dimension (groundedness, completeness, format, tone) rather than one holistic number; each criterion includes an example of what failure looks like.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single 1–10 “quality” score — unactionable, uncalibratable, and different in every grader’s head.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Judge calibration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LLM judge is graded against human graders on a sample before being trusted; agreement measured and tracked; recalibrated on every judge-model upgrade; judge model differs from the generator model.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generator grading its own homework — shared blind spots guarantee inflated scores precisely where the system is weakest.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Trajectory evals (agents)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path is scored, not just the destination: tool-choice correctness, step efficiency, budget adherence, and recovery behavior after a failed step each get criteria.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Scoring only the final answer — an agent that stumbled into the right answer through twelve wasteful, risky steps scores the same as a clean run.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Statistical honesty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bars acknowledged: small sets cannot resolve small differences, so a two-point gain on fifty cases is noise, not progress. Results tracked per segment (document type, query class), not only in aggregate.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Celebrating aggregate movement while one critical segment quietly regressed — the average hid it.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Eval lifecycle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 sets are versioned with the prompts they test; thresholds are CI gates; a documented owner curates additions and retirements; stale or saturated cases are retired deliberately.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eval set frozen at launch — within two quarters it tests yesterday’s failure modes and passes everything.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Sequencing rule: the golden set and the baseline measurement exist before the first line of application code. If the baseline is a human process, measure it — “better than the human baseline” is unprovable when nobody measured the humans.</w:t>
      </w:r>
    </w:p>
    <w:p>
      <w:pPr>
        <w:pStyle w:val="Heading1"/>
      </w:pPr>
      <w:r>
        <w:t xml:space="preserve">10. Data Patterns</w:t>
      </w:r>
    </w:p>
    <w:p>
      <w:pPr>
        <w:spacing w:after="160"/>
      </w:pPr>
      <w:r>
        <w:rPr>
          <w:i/>
          <w:iCs/>
          <w:color w:val="64748B"/>
        </w:rPr>
        <w:t xml:space="preserve">AI quality is downstream of data quality. These patterns make the data estate AI-ready.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Trade-offs / 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Medallion → AI serving stores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Bronze/Silver/Gold warehouse layers feed certified data into AI-specific stores.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Reuse existing governance: only DQ-tested, certified data gets embedded, indexed, or served as context.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failures must fail loudly — a silently stale index degrades answers with no error anywhere.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 plus metadata indexed for similarity retrieval.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of every RAG deployment.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choice (HNSW vs. IVF), dimensionality, and re-embedding strategy are operational decisions with cost cliffs.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Feature &amp; context stores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Governed features for classical ML; per-request entity context (client, account, position) assembled for LLM prompts.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 estates running both classical models and LLMs; personalization of prompt context.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consistency problems — training/serving skew for features, freshness for context.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Semantic layer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Certified metric definitions and schema descriptions exposed as the contract for NL-to-SQL and analytics agents.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analytics agent. Without it, the model invents joins and metrics.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layer must be maintained as definitions evolve; an outdated semantic layer is confidently wrong at scale.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CDC-driven incremental re-indexing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Change-data-capture triggers re-embedding and re-indexing of only what changed.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Corpora that change daily; full re-index cycles that no longer fit the freshness SLA.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and entitlement changes must propagate too — a revoked document that remains retrievable is a breach.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Data classification routing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Sensitivity classification on data decides which model topology (SaaS, VPC, self-hosted) a request may use.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estate mixing public, confidential, and restricted data — enforced at the gateway.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Requires classification to actually exist and be trustworthy; misclassified data defeats the whole control.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AI Security Patterns</w:t>
      </w:r>
    </w:p>
    <w:p>
      <w:pPr>
        <w:spacing w:after="160"/>
      </w:pPr>
      <w:r>
        <w:rPr>
          <w:i/>
          <w:iCs/>
          <w:color w:val="64748B"/>
        </w:rPr>
        <w:t xml:space="preserve">Threat-model the AI path like any internet-facing system. Columns shift here: each pattern includes how to implement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implement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Prompt injection defense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Layered defense against instructions smuggled in via user input, retrieved documents, or tool results.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Instruction hierarchy in the system prompt; delimit and “spotlight” untrusted content; input classifier before the model; treat retrieved docs and tool outputs as untrusted; deny-by-default for tool calls triggered by retrieved content.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filter is complete — pair with least privilege so a successful injection has minimal blast radius. Design the blast radius, not just the filter.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Insecure output handling prevention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Treat model output as untrusted user input to every downstream system.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Encode/escape before rendering (XSS); parameterize before executing (SQL injection); schema-validate before parsing; execute generated code only inside a sandbox.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most exploited weakness in real LLM applications — teams trust their own model’s output and pipe it straight into shells and browsers.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PII &amp; sensitive-data redaction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 and mask sensitive entities before data reaches an external model or a log.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NER models plus deterministic patterns (account/ID formats) in a pre-processing stage; reversible pseudonymization vault when downstream needs identity restored; apply the same redaction to telemetry.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 is never 100% — redaction is a control layer, not a substitute for classification-driven topology routing.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Least-privilege agent credentials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tool an agent can call gets its own scoped, revocable identity.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Per-tool service identities; short-lived tokens with narrow scopes; read-only by default; per-call authorization checks; no shared super-user service accounts.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Credential sprawl follows — budget for secrets management and rotation from day one.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Identity propagation (on-behalf-of)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End-user identity flows through the AI layer to data sources so existing entitlements apply.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2.0 token exchange (on-behalf-of flow); pass user context into retrieval filters; never query a data source as the platform’s own identity.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Caching responses across users silently breaks entitlements — scope every cache by user or entitlement group.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Sandboxing &amp; egress control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code and agent actions run in isolated, network-restricted environments.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Containerized sandboxes with no default egress; allowlisted destinations only; CPU/memory/time quotas; ephemeral filesystems.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Exfiltration rides allowed channels — e.g., data encoded into URLs inside generated markdown. Inspect outbound content, not just destinations.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Model &amp; supply-chain integrity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Provenance and integrity controls on models, weights, and packages.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registry with signed artifacts and checksums; scan model files before loading; pin versions; document fine-tune data provenance; mirror packages through a controlled registry (air-gapped Nexus-style).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corpora and fine-tune data are poisoning surfaces too — govern what enters the index with the same rigor as code.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Adversarial testing &amp; red teaming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Deliberate attacks against the system before and after launch.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Pre-launch red-team exercise scoped to OWASP LLM Top 10 and MITRE ATLAS scenarios; automated attack corpora (injection sets, jailbreak suites) in CI; re-test on every model upgrade.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Point-in-time assurance only — attacks and model behaviors both evolve; schedule recurring tests.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Rate limiting &amp; abuse prevention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Quotas and anomaly detection that stop misuse and runaway cost.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Per-user and per-tenant quotas at the gateway; cost ceilings per request and per day; anomaly alerts on usage spikes; max context-length limits.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denial-of-service is cheap for attackers — a few maximum-context prompts can exhaust capacity and budget.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Secure logging &amp; telemetry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audit trail is protected like the data it contains.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store inherits the highest classification of data flowing through it; field-level encryption for prompts/context; role-based access to traces; defined retention and deletion.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Unprotected observability becomes the breach: full prompts and retrieved context in plaintext logs are a honeypot.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AI Governance Patterns</w:t>
      </w:r>
    </w:p>
    <w:p>
      <w:pPr>
        <w:spacing w:after="160"/>
      </w:pPr>
      <w:r>
        <w:rPr>
          <w:i/>
          <w:iCs/>
          <w:color w:val="64748B"/>
        </w:rPr>
        <w:t xml:space="preserve">Governance that enables rather than blocks: risk-tiered controls, machine-enforced policy, and accountability that survives an exam.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0"/>
        <w:gridCol w:w="2490"/>
        <w:gridCol w:w="249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implement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Watch-outs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Use-case intake &amp; risk tiering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proposed AI use case is triaged by impact and autonomy before build.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 intake form capturing data classes, autonomy level, audience, and reversibility; 3–4 risk tiers, each mapped to a fixed control set; tier decides review depth and required evidence.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Friction breeds shadow AI — keep the low-tier path to approval measured in days, not months.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AI system inventory &amp; registry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register of every model, prompt, dataset, and owner in production.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Registry holding model cards, prompt versions, eval results, and deployment locations; CI hooks auto-register on deploy so the inventory cannot drift from reality.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manually maintained inventory is stale within a quarter — and a stale inventory is itself an audit finding.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Model risk management (MRM)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Validation, documentation, and change control applied to AI systems, in the spirit of SR 11-7.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Independent validation for high-tier systems; documented intended use and limitations; periodic revalidation; formal change control treating prompt, model, and index changes as model changes.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Classical annual-review cadence does not fit GenAI — define event-driven triggers (model upgrade, eval regression) alongside the calendar.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Policy-as-code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 rules enforced by machines, not memos.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 policies mapping data classes to permitted model topologies; CI gates enforcing eval thresholds and guardrail test suites; declarative rules (OPA-style) for tool permissions.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Policies need named owners and version history, or enforcement decays into folklore nobody can explain.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Human accountability mapping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 human is accountable for every AI decision path.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RACI per use case; documented human checkpoints and sign-off authority; the accountable role is staffed and resourced — it is never “the model.”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Accountability theater: a reviewer who lacks the time, tooling, or authority to actually intervene is a checkbox, not a control.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AI review board integration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AI-specific criteria embedded in the existing architecture review process.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 the ARB checklist: patterns used, eval evidence, guardrails, fallback design, data flows, and risk tier. Reuse the existing forum and authority chain.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parallel AI bureaucracy duplicates effort and gets bypassed — integrate, don’t replicate.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Data governance for AI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 limitation, retention, and residency extended to AI-specific data.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contracts for AI consumers; classification-driven routing; retention policies covering embeddings and traces; deletion propagation so erasure requests reach vector stores and logs.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 are data — they can leak source text and they outlive the documents they came from if deletion does not propagate.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Vendor &amp; third-party governance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Contractual and architectural control over AI suppliers.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 review for egress, retention, and train-on-your-data clauses; audit-log portability; documented exit plan and switching cost before a provider becomes load-bearing.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Lock-in arrives through proprietary features adopted casually — inventory which vendor-specific capabilities each use case depends on.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AI incident response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Runbooks extended for AI-specific failure classes.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 matrix covering harmful output, data leakage via model, injection exploitation, and quality drift; gateway-level kill switch per use case; communications plan; postmortems that feed new eval cases.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untested kill switch is a hope, not a control — rehearse AI incidents like any other DR scenario.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Continuous monitoring &amp; drift governance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quality metrics tied to governance thresholds with defined consequences.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Dashboards on groundedness, complaint and override rates, and cost per outcome; threshold breaches automatically open reviews; scheduled model reviews on upgrade cadence.</w:t>
            </w:r>
          </w:p>
        </w:tc>
        <w:tc>
          <w:tcPr>
            <w:tcW w:type="dxa" w:w="249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 without consequence rot — every monitored threshold needs a pre-agreed action when crossed.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Failure Mode Taxonomy</w:t>
      </w:r>
    </w:p>
    <w:p>
      <w:pPr>
        <w:spacing w:after="160"/>
      </w:pPr>
      <w:r>
        <w:rPr>
          <w:i/>
          <w:iCs/>
          <w:color w:val="64748B"/>
        </w:rPr>
        <w:t xml:space="preserve">How AI systems actually fail in production — with the detection signal and the mitigation for each. Use this table in design reviews: a credible design names its failure modes before the incident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2350"/>
        <w:gridCol w:w="2760"/>
      </w:tblGrid>
      <w:tr>
        <w:trPr>
          <w:tblHeader/>
        </w:trP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 signal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Hallucinated facts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 claims with no support in the provided context.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Groundedness eval; automated citation validation against source spans.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Citation-or-silence contract; verifier chains; calibrated abstention.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Tool-call hallucination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model invents tools, parameters, or IDs that do not exist.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validation failure rate per tool; unknown-tool call counts.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schema validation with structured-error retry; fewer, better-described tools.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Sycophancy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model adopts the user’s wrong premise instead of correcting it.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 cases with adversarial premises; human override-rate review.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Rubrics that reward correction; critic pass; instructions that license disagreement.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Lost-in-the-middle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 buried mid-context is ignored at generation time.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Position-sensitive eval probes (same fact, varied placement).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placement of critical content; smaller, denser context; re-test per model upgrade.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Format drift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schema compliance degrades over long sessions or after upgrades.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Parse-failure rate; schema-violation counts in production.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Enforced structured output; schema restated at context end; retry-on-violation.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Silent context truncation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 content drops as the window fills; behavior changes without errors.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Context-utilization monitoring; truncation-event alerts.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budgeting; history compaction with pinned facts.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Runaway loops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agent repeats actions without progress until budgets exhaust.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Iteration counts; repeated-identical-tool-call detection.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budgets; progress checks per iteration; graceful partial-result exit.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Stale retrieval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Answers grounded in outdated documents that were correct last quarter.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Index-age alerts; freshness metadata checked in evals.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CDC-driven re-indexing; freshness SLAs; loud pipeline failure, never silent.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Prompt regression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prompt “improvement” quietly degrades cases it wasn’t aimed at.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Golden-set delta in CI on every prompt change.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Eval-gated promotion; prompts versioned with their eval results.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Cost &amp; latency creep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growth and retry inflation raise spend gradually until finance notices first.</w:t>
            </w:r>
          </w:p>
        </w:tc>
        <w:tc>
          <w:tcPr>
            <w:tcW w:type="dxa" w:w="2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Cost-per-outcome trend; tokens-per-task trend; p95 latency drift.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caching; compaction; cascading; budget alerts at the gateway.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Anti-Patterns</w:t>
      </w:r>
    </w:p>
    <w:p>
      <w:pPr>
        <w:spacing w:after="160"/>
      </w:pPr>
      <w:r>
        <w:rPr>
          <w:i/>
          <w:iCs/>
          <w:color w:val="64748B"/>
        </w:rPr>
        <w:t xml:space="preserve">The named rogues’ gallery. Recognizing these by name in a design review is half the cure.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2400"/>
        <w:gridCol w:w="2710"/>
      </w:tblGrid>
      <w:tr>
        <w:trPr>
          <w:tblHeader/>
        </w:trP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instead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The mega-prompt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prompt performing classification, extraction, validation, and generation at once.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Untestable as a unit; every change regresses something; no link can be measured alone.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chaining with a schema and an eval at every link.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Agent-for-everything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Autonomous agents deployed where a function call or a SQL query would do.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Pays the cost, latency, and unpredictability of autonomy for zero capability gain.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capability ladder: least autonomy that completes the task.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Eval-free launch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Shipping on demos and vibes; quality asserted, never measured.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baseline, no regression detection, no evidence when the auditor or the incident arrives.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Golden set and baseline before the first line of application code.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Demo-driven architecture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decisions optimized to impress a stakeholder demo.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Happy-path engineering collapses on real traffic, real documents, real adversaries.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Adversarial eval cases from day one; shadow deployment before claims.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The unowned prompt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Prompts edited directly in production with no version, owner, or review.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Silent regressions with no audit trail; nobody can say what changed or why.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Prompts as versioned artifacts behind CI eval gates, with named owners.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RAG as magic search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Dump the corpus into a vector store and expect grounded answers.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quality — chunking, hybrid search, reranking — was never engineered, so grounding is garbage.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 retrieval as its own engineered, evaluated subsystem.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Fine-tuning for facts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Baking knowledge into model weights to “teach it our data.”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Stale on arrival; every fact change is a training cycle; provenance is lost.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Facts in retrieval, behavior in fine-tuning.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Bolt-on guardrails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Safety controls added in launch week, after the architecture is fixed.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Controls don’t fit the request path; gaps everywhere; retrofit costs explode.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the secure request path (Section 15) before the first use case.</w:t>
            </w:r>
          </w:p>
        </w:tc>
      </w:tr>
      <w:tr>
        <w:tc>
          <w:tcPr>
            <w:tcW w:type="dxa" w:w="1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Shadow-AI tolerance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Teams quietly using unapproved tools because the official path is slow.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leakage with no audit trail, duplicated spend, and risk nobody is tracking.</w:t>
            </w:r>
          </w:p>
        </w:tc>
        <w:tc>
          <w:tcPr>
            <w:tcW w:type="dxa" w:w="27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fast low-tier intake path that is easier than going rogue.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15. The Secure Request Path: How the Controls Compose</w:t>
      </w:r>
    </w:p>
    <w:p>
      <w:pPr>
        <w:spacing w:after="160"/>
      </w:pPr>
      <w:r>
        <w:rPr>
          <w:i/>
          <w:iCs/>
          <w:color w:val="64748B"/>
        </w:rPr>
        <w:t xml:space="preserve">Security and governance patterns are not a list — they are a sequence. Design this control path once at the platform level so every application inherits it.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Authenticate and authorize at the edge — end-user identity is established before anything else happens.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Input guardrails — classify the request, screen for injection patterns, redact sensitive entities.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Policy check at the model gateway — the data classification of the request determines the permitted model topology; quotas and budgets are enforced here.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Retrieval with entitlement filters — user identity propagates into the index query; the user can only retrieve what they could already read.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Context assembly with spotlighting — retrieved content and tool outputs are delimited and marked untrusted before joining the prompt.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Model call — routed, versioned, parameter-logged; fallback and circuit breaker armed.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Output guardrails — schema validation, content policy filtering, and a second PII scan on the way out.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Action gates — tool calls are individually authorized; irreversible actions wait at a human-in-the-loop checkpoint.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Safe rendering — output is encoded for the destination (browser, SQL, shell) and presented with citations.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Telemetry — the full trace lands in the protected audit store; a sample flows to evaluation; user feedback is captured.</w:t>
      </w:r>
    </w:p>
    <w:p>
      <w:pPr>
        <w:spacing w:after="120"/>
      </w:pPr>
      <w:r>
        <w:t xml:space="preserve">Steps 1–3 and 7–10 are platform concerns implemented once; steps 4–6 are configured per use case. If a proposed architecture cannot show where each step happens, it is not ready for review.</w:t>
      </w:r>
    </w:p>
    <w:p>
      <w:pPr>
        <w:pStyle w:val="Heading1"/>
      </w:pPr>
      <w:r>
        <w:t xml:space="preserve">16. Regulatory &amp; Framework Map</w:t>
      </w:r>
    </w:p>
    <w:p>
      <w:pPr>
        <w:spacing w:after="160"/>
      </w:pPr>
      <w:r>
        <w:rPr>
          <w:i/>
          <w:iCs/>
          <w:color w:val="64748B"/>
        </w:rPr>
        <w:t xml:space="preserve">The external frameworks that shape enterprise AI architecture, and the architect’s concrete obligation under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architect must 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NIST AI RMF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Voluntary US risk framework: Govern, Map, Measure, Manage.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 the governance program around its four functions; use its vocabulary in documentation — examiners increasingly 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ISO/IEC 42001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Certifiable AI management system standard (AIMS).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 the inventory, policies, and review cadence so certification is an audit away, not a rebuild away.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EU AI Act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Risk-based regulation; obligations scale with the system’s risk class.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Classify every use case against its categories; high-risk systems need logging, human oversight, and technical documentation by design.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SR 11-7 / MRM guidance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banking supervisory guidance on model risk management.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 GenAI systems as models: independent validation, documented limitations, change control on prompts and indexes.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NYDFS Part 500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York financial services cybersecurity regulation.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 the existing cyber program to AI assets: access controls, audit trails, incident reporting cover the AI path too.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GDPR / data protection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Lawful processing of personal data.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Lawful basis and minimization for context data; erasure requests must propagate to embeddings, caches, and traces.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OWASP LLM Top 10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application-security risk list for LLM systems.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it as the threat-model checklist and the red-team scope for every deployment.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MITRE ATLAS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base of adversarial ML tactics and techniques.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 detections and red-team scenarios to its technique IDs so security operations speak one language.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17. Beyond Patterns: What Else the Enterprise AI Architect Owns</w:t>
      </w:r>
    </w:p>
    <w:p>
      <w:pPr>
        <w:spacing w:after="160"/>
      </w:pPr>
      <w:r>
        <w:rPr>
          <w:i/>
          <w:iCs/>
          <w:color w:val="64748B"/>
        </w:rPr>
        <w:t xml:space="preserve">Patterns are necessary but not sufficient. These are the surrounding responsibilities that determine whether the patterns ever pay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good looks like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FinOps for AI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economics measured as cost per outcome, not cost per token. Budgets per use case with gateway-enforced ceilings; caching, cascading, and model right-sizing as the standing cost levers; GPU capacity planned against utilization targets, not peak fear; chargeback visible to the teams generating the spend.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Operating 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central platform team owns the gateway, eval harness, guardrails, and audit plumbing; federated product teams build use cases on that paved road. The platform’s success metric: the second use case ships in weeks, not quarters. An enablement function (CoE) spreads patterns — it does not become a delivery bottleneck.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Build vs. buy &amp; lock-in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 commodity (gateways, vector stores, observability) unless it is genuinely differentiating; build the thin layers that encode your controls and domain. Portability test before any vendor becomes load-bearing: can prompts, evals, embeddings, and audit logs leave with you?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Skills &amp; team shape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engineers for integration, data engineers for the feeding pipelines, evaluation engineers as a first-class role, and prompt-literate domain SMEs embedded in build teams. Upskilling insiders usually beats hiring outsiders — domain knowledge is the scarce ingredient, not API familiarity.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Adoption &amp; change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is earned operationally: shadow mode before cutover, visible citations, honest abstentions, and a feedback channel users can see acting on their input. Train users on failure modes, not just features. Measure adoption and override rates alongside accuracy — an accurate system nobody uses delivered nothing.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Legal &amp; IP posture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Settle output ownership, training-data provenance, and indemnification positions before launch, with counsel. Review open-model licenses (non-standard terms like ELv2 are common) against your distribution and air-gap constraints. Document the copyright posture for generated content in client-facing contexts.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1B4B"/>
                <w:sz w:val="20"/>
                <w:szCs w:val="20"/>
              </w:rPr>
              <w:t xml:space="preserve">Model &amp; prompt lifecycle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 and prompts age like dependencies, not like documents: pinned versions, scheduled upgrade evaluations, deprecation plans for retired models, and a regression story for every upgrade. The question is never whether to upgrade, only how to upgrade with evidence.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18. Phased Implementation Checklist</w:t>
      </w:r>
    </w:p>
    <w:p>
      <w:pPr>
        <w:spacing w:after="160"/>
      </w:pPr>
      <w:r>
        <w:rPr>
          <w:i/>
          <w:iCs/>
          <w:color w:val="64748B"/>
        </w:rPr>
        <w:t xml:space="preserve">How to roll the security and governance patterns out without stalling delivery.</w:t>
      </w:r>
    </w:p>
    <w:p>
      <w:pPr>
        <w:spacing w:after="40" w:before="120"/>
      </w:pPr>
      <w:r>
        <w:rPr>
          <w:b/>
          <w:bCs/>
          <w:color w:val="4F46E5"/>
          <w:sz w:val="22"/>
          <w:szCs w:val="22"/>
        </w:rPr>
        <w:t xml:space="preserve">Phase 0 — Foundations (before the first use case)</w:t>
      </w:r>
    </w:p>
    <w:p>
      <w:pPr>
        <w:spacing w:after="120"/>
      </w:pPr>
      <w:r>
        <w:t xml:space="preserve">Risk-tiering intake process live; model gateway MVP with auth, routing, and logging; protected audit store; eval harness with one golden set; OWASP-scoped threat model of the platform itself.</w:t>
      </w:r>
    </w:p>
    <w:p>
      <w:pPr>
        <w:spacing w:after="40" w:before="120"/>
      </w:pPr>
      <w:r>
        <w:rPr>
          <w:b/>
          <w:bCs/>
          <w:color w:val="4F46E5"/>
          <w:sz w:val="22"/>
          <w:szCs w:val="22"/>
        </w:rPr>
        <w:t xml:space="preserve">Phase 1 — First production use case</w:t>
      </w:r>
    </w:p>
    <w:p>
      <w:pPr>
        <w:spacing w:after="120"/>
      </w:pPr>
      <w:r>
        <w:t xml:space="preserve">Shadow deployment against the human process; guardrails tuned on real traffic, not synthetic tests; incident runbook and kill switch rehearsed; sign-off recorded against the risk tier’s control set.</w:t>
      </w:r>
    </w:p>
    <w:p>
      <w:pPr>
        <w:spacing w:after="40" w:before="120"/>
      </w:pPr>
      <w:r>
        <w:rPr>
          <w:b/>
          <w:bCs/>
          <w:color w:val="4F46E5"/>
          <w:sz w:val="22"/>
          <w:szCs w:val="22"/>
        </w:rPr>
        <w:t xml:space="preserve">Phase 2 — Scale</w:t>
      </w:r>
    </w:p>
    <w:p>
      <w:pPr>
        <w:spacing w:after="120"/>
      </w:pPr>
      <w:r>
        <w:t xml:space="preserve">Policy-as-code enforcing data-class routing and CI eval gates; registry auto-populated from deploys; recurring red-team program; FinOps dashboards with per-use-case budgets; pattern templates so new teams start on the paved road.</w:t>
      </w:r>
    </w:p>
    <w:p>
      <w:pPr>
        <w:spacing w:after="40" w:before="120"/>
      </w:pPr>
      <w:r>
        <w:rPr>
          <w:b/>
          <w:bCs/>
          <w:color w:val="4F46E5"/>
          <w:sz w:val="22"/>
          <w:szCs w:val="22"/>
        </w:rPr>
        <w:t xml:space="preserve">Phase 3 — Steady state</w:t>
      </w:r>
    </w:p>
    <w:p>
      <w:pPr>
        <w:spacing w:after="120"/>
      </w:pPr>
      <w:r>
        <w:t xml:space="preserve">Event-driven revalidation on model upgrades and eval regressions; drift reviews with pre-agreed consequences; quarterly re-evaluation of pattern choices; ISO/IEC 42001 alignment if certification is on the horizon.</w:t>
      </w:r>
    </w:p>
    <w:p>
      <w:pPr>
        <w:pStyle w:val="Heading1"/>
      </w:pPr>
      <w:r>
        <w:t xml:space="preserve">19. Selection Heuristics</w:t>
      </w:r>
    </w:p>
    <w:p>
      <w:pPr>
        <w:spacing w:after="160"/>
      </w:pPr>
      <w:r>
        <w:rPr>
          <w:i/>
          <w:iCs/>
          <w:color w:val="64748B"/>
        </w:rPr>
        <w:t xml:space="preserve">Cross-cutting rules of thumb when choosing among the families above.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Facts belong in retrieval, behavior belongs in fine-tuning, process belongs in agents. Misplacing one of these in another layer is the most common architectural error.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Prefer one strong model with reflection over many weak models in committee — until an eval proves otherwise.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Every autonomous capability needs three siblings designed at the same time: a guardrail, an eval, and a fallback.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Assume prompt injection will eventually succeed — design the blast radius (least privilege, action gates), not just the filter.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Govern embeddings, caches, and traces like the source data — because they are the source data, in a different shape.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Cost per outcome, not cost per token, is the unit of economic analysis. A cheaper model that needs three retries is not cheaper.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If a pattern cannot be explained to an auditor in two sentences with a log to back it up, it is not ready for regulated production.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Controls implemented at the platform (gateway, guardrails, audit) are inherited for free by every use case; controls implemented per-app are re-built, badly, every time.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2"/>
          <w:szCs w:val="22"/>
        </w:rPr>
        <w:t xml:space="preserve">Re-evaluate pattern choices quarterly: model capabilities shift fast enough that last year’s necessary complexity may be this year’s removable scaffolding.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4748B"/>
        <w:sz w:val="18"/>
        <w:szCs w:val="18"/>
      </w:rPr>
      <w:t xml:space="preserve">AI Design Pattern Catalog</w:t>
    </w:r>
    <w:r>
      <w:rPr>
        <w:color w:val="64748B"/>
        <w:sz w:val="18"/>
        <w:szCs w:val="18"/>
      </w:rPr>
      <w:t xml:space="preserve">	Reference Edition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1B4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2026-06-11T22:05:14.448Z</dcterms:created>
  <dcterms:modified xsi:type="dcterms:W3CDTF">2026-06-11T22:05:14.449Z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