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0"/>
      </w:pPr>
      <w:r>
        <w:rPr>
          <w:b/>
          <w:bCs/>
          <w:color w:val="1E3A5F"/>
          <w:sz w:val="52"/>
          <w:szCs w:val="52"/>
        </w:rPr>
        <w:t xml:space="preserve">Enterprise Agentic AI Framework</w:t>
      </w:r>
    </w:p>
    <w:p>
      <w:pPr>
        <w:spacing w:after="240"/>
      </w:pPr>
      <w:r>
        <w:rPr>
          <w:color w:val="0E7C7B"/>
          <w:sz w:val="30"/>
          <w:szCs w:val="30"/>
        </w:rPr>
        <w:t xml:space="preserve">The CP × AI Labs Operating Contract</w:t>
      </w:r>
    </w:p>
    <w:p>
      <w:pPr>
        <w:spacing w:after="80"/>
      </w:pPr>
      <w:r>
        <w:rPr>
          <w:color w:val="5A6B7B"/>
          <w:sz w:val="24"/>
          <w:szCs w:val="24"/>
        </w:rPr>
        <w:t xml:space="preserve">Capital Partners — Platform &amp; Technology Solution Architecture</w:t>
      </w:r>
    </w:p>
    <w:p>
      <w:pPr>
        <w:spacing w:after="80"/>
      </w:pPr>
      <w:r>
        <w:rPr>
          <w:i/>
          <w:iCs/>
          <w:color w:val="5A6B7B"/>
          <w:sz w:val="22"/>
          <w:szCs w:val="22"/>
        </w:rPr>
        <w:t xml:space="preserve">Deliverable of the CP LOB Architect to AI Labs Leadership</w:t>
      </w:r>
    </w:p>
    <w:p>
      <w:pPr>
        <w:pBdr>
          <w:top w:val="single" w:color="0E7C7B" w:sz="6" w:space="6"/>
        </w:pBdr>
        <w:spacing w:before="600"/>
      </w:pPr>
      <w:r>
        <w:rPr>
          <w:b/>
          <w:bCs/>
          <w:color w:val="1E3A5F"/>
          <w:sz w:val="24"/>
          <w:szCs w:val="24"/>
        </w:rPr>
        <w:t xml:space="preserve">CP owns the demand, the domain standards, and the target-state. AI Labs owns the platform. Neither builds the other’s half.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How to read this document</w:t>
      </w:r>
    </w:p>
    <w:p>
      <w:pPr>
        <w:spacing w:after="160"/>
      </w:pPr>
      <w:r>
        <w:rPr>
          <w:i/>
          <w:iCs/>
          <w:color w:val="5A6B7B"/>
          <w:sz w:val="22"/>
          <w:szCs w:val="22"/>
        </w:rPr>
        <w:t xml:space="preserve">Four audiences, one framework. Each section is tagged with who needs it most — but the thesis is shared: an enterprise AI capability, not 25 chatbots.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  <w:tc>
          <w:tcPr>
            <w:tcW w:type="dxa" w:w="33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Read these sections first</w:t>
            </w:r>
          </w:p>
        </w:tc>
        <w:tc>
          <w:tcPr>
            <w:tcW w:type="dxa" w:w="30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they're deciding</w:t>
            </w:r>
          </w:p>
        </w:tc>
      </w:tr>
      <w:tr>
        <w:tc>
          <w:tcPr>
            <w:tcW w:type="dxa" w:w="30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AI Labs leadership / CTO–CDO</w:t>
            </w:r>
          </w:p>
        </w:tc>
        <w:tc>
          <w:tcPr>
            <w:tcW w:type="dxa" w:w="33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 Thesis · 2 Ownership · 6 Success metrics</w:t>
            </w:r>
          </w:p>
        </w:tc>
        <w:tc>
          <w:tcPr>
            <w:tcW w:type="dxa" w:w="30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Is this a fundable platform program?</w:t>
            </w:r>
          </w:p>
        </w:tc>
      </w:tr>
      <w:tr>
        <w:tc>
          <w:tcPr>
            <w:tcW w:type="dxa" w:w="30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AI Labs engineering leads</w:t>
            </w:r>
          </w:p>
        </w:tc>
        <w:tc>
          <w:tcPr>
            <w:tcW w:type="dxa" w:w="33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 The platform ask · 5 Intake→Production · 8 Eval framework</w:t>
            </w:r>
          </w:p>
        </w:tc>
        <w:tc>
          <w:tcPr>
            <w:tcW w:type="dxa" w:w="30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What exactly do we build, and how is 'done' defined?</w:t>
            </w:r>
          </w:p>
        </w:tc>
      </w:tr>
      <w:tr>
        <w:tc>
          <w:tcPr>
            <w:tcW w:type="dxa" w:w="30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CP business sponsors</w:t>
            </w:r>
          </w:p>
        </w:tc>
        <w:tc>
          <w:tcPr>
            <w:tcW w:type="dxa" w:w="33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 Thesis · 3 Portfolio &amp; waves · 6 Success metrics</w:t>
            </w:r>
          </w:p>
        </w:tc>
        <w:tc>
          <w:tcPr>
            <w:tcW w:type="dxa" w:w="30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Where does my LOB's value land, and when?</w:t>
            </w:r>
          </w:p>
        </w:tc>
      </w:tr>
      <w:tr>
        <w:tc>
          <w:tcPr>
            <w:tcW w:type="dxa" w:w="30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Architecture Review Board</w:t>
            </w:r>
          </w:p>
        </w:tc>
        <w:tc>
          <w:tcPr>
            <w:tcW w:type="dxa" w:w="33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 Maturity model · 7 Standards · 9 Risk tiers</w:t>
            </w:r>
          </w:p>
        </w:tc>
        <w:tc>
          <w:tcPr>
            <w:tcW w:type="dxa" w:w="30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Is every system governed, tiered, and auditable?</w:t>
            </w:r>
          </w:p>
        </w:tc>
      </w:tr>
    </w:tbl>
    <w:p>
      <w:pPr>
        <w:pStyle w:val="Heading1"/>
      </w:pPr>
      <w:r>
        <w:t xml:space="preserve">1 · The thesis</w:t>
      </w:r>
    </w:p>
    <w:p>
      <w:pPr>
        <w:spacing w:after="160"/>
      </w:pPr>
      <w:r>
        <w:rPr>
          <w:i/>
          <w:iCs/>
          <w:color w:val="5A6B7B"/>
          <w:sz w:val="22"/>
          <w:szCs w:val="22"/>
        </w:rPr>
        <w:t xml:space="preserve">“I am not looking for 25 AI solutions. I am looking for an enterprise AI capability.”</w:t>
      </w:r>
    </w:p>
    <w:p>
      <w:pPr>
        <w:spacing w:after="120"/>
      </w:pPr>
      <w:r>
        <w:t xml:space="preserve">Capital Partners has 25 candidate AI use cases across CAB, Credit Alternatives, FI, Funds, IRG, MFO, Ops, PE, Public Equities, and Trust Co. Built one at a time, that is 25 bespoke systems, 25 sets of controls, and 25 audit problems. Built as a capability, it is six reusable patterns on four shared platforms — and the second use case in any pattern ships in weeks, not quarters.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The framework rests on three moves made together: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Reuse &amp; speed — collapse 25 use cases into 6 archetypes (A1–A6) running on 4 platforms. Build once; configure many.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Governance &amp; auditability — risk-tier every use case at intake; enforce four architecture standards as gates, not conventions; make every Tier-1/2 output reproducible for an examiner within one business day.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Ownership &amp; accountability — a clean split: CP owns demand, standards, and target-state; AI Labs owns the platform; delivery teams configure. No one rebuilds the other's half.</w:t>
      </w:r>
    </w:p>
    <w:p>
      <w:pPr>
        <w:spacing w:after="120"/>
        <w:rPr>
          <w:i/>
          <w:iCs/>
          <w:color w:val="0E7C7B"/>
        </w:rPr>
      </w:pPr>
      <w:r>
        <w:rPr>
          <w:i/>
          <w:iCs/>
          <w:color w:val="0E7C7B"/>
        </w:rPr>
        <w:t xml:space="preserve">Success is not measured by chatbot count. It is measured by reuse, governance, auditability, and speed to onboard the next use case.</w:t>
      </w:r>
    </w:p>
    <w:p>
      <w:pPr>
        <w:pStyle w:val="Heading1"/>
      </w:pPr>
      <w:r>
        <w:t xml:space="preserve">2 · Ownership model — the contract spine</w:t>
      </w:r>
    </w:p>
    <w:p>
      <w:pPr>
        <w:spacing w:after="160"/>
      </w:pPr>
      <w:r>
        <w:rPr>
          <w:i/>
          <w:iCs/>
          <w:color w:val="5A6B7B"/>
          <w:sz w:val="22"/>
          <w:szCs w:val="22"/>
        </w:rPr>
        <w:t xml:space="preserve">The single most important page. Most enterprise AI programs fail at the seam between the platform team and the business. This defines the seam.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30"/>
        <w:gridCol w:w="3630"/>
      </w:tblGrid>
      <w:tr>
        <w:trPr>
          <w:tblHeader/>
        </w:trPr>
        <w:tc>
          <w:tcPr>
            <w:tcW w:type="dxa" w:w="19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383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Accountable for</w:t>
            </w:r>
          </w:p>
        </w:tc>
        <w:tc>
          <w:tcPr>
            <w:tcW w:type="dxa" w:w="363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 accountable for</w:t>
            </w:r>
          </w:p>
        </w:tc>
      </w:tr>
      <w:tr>
        <w:tc>
          <w:tcPr>
            <w:tcW w:type="dxa" w:w="19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AI Labs</w:t>
            </w:r>
          </w:p>
        </w:tc>
        <w:tc>
          <w:tcPr>
            <w:tcW w:type="dxa" w:w="383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Platform services, shared infrastructure, reusable components, model operations, security controls, hosting.</w:t>
            </w:r>
          </w:p>
        </w:tc>
        <w:tc>
          <w:tcPr>
            <w:tcW w:type="dxa" w:w="363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Business logic per use case, LOB evaluations, domain standards, demand prioritization.</w:t>
            </w:r>
          </w:p>
        </w:tc>
      </w:tr>
      <w:tr>
        <w:tc>
          <w:tcPr>
            <w:tcW w:type="dxa" w:w="19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CP — LOB Architecture</w:t>
            </w:r>
          </w:p>
        </w:tc>
        <w:tc>
          <w:tcPr>
            <w:tcW w:type="dxa" w:w="383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Demand definition, architecture standards, target-state design, evaluation criteria, use-case patterns, MRM obligations.</w:t>
            </w:r>
          </w:p>
        </w:tc>
        <w:tc>
          <w:tcPr>
            <w:tcW w:type="dxa" w:w="363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Platform engineering, model hosting, shared infrastructure build.</w:t>
            </w:r>
          </w:p>
        </w:tc>
      </w:tr>
      <w:tr>
        <w:tc>
          <w:tcPr>
            <w:tcW w:type="dxa" w:w="19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LOB Delivery Teams</w:t>
            </w:r>
          </w:p>
        </w:tc>
        <w:tc>
          <w:tcPr>
            <w:tcW w:type="dxa" w:w="383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Use-case configuration on the platform, domain SME input, golden-set curation, user adoption.</w:t>
            </w:r>
          </w:p>
        </w:tc>
        <w:tc>
          <w:tcPr>
            <w:tcW w:type="dxa" w:w="363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Re-building what the platform already provides.</w:t>
            </w:r>
          </w:p>
        </w:tc>
      </w:tr>
    </w:tbl>
    <w:p>
      <w:pPr>
        <w:spacing w:before="160"/>
      </w:pPr>
    </w:p>
    <w:p>
      <w:pPr>
        <w:spacing w:after="120"/>
        <w:rPr>
          <w:b/>
          <w:bCs/>
          <w:color w:val="0E7C7B"/>
          <w:sz w:val="24"/>
          <w:szCs w:val="24"/>
        </w:rPr>
      </w:pPr>
      <w:r>
        <w:rPr>
          <w:b/>
          <w:bCs/>
          <w:color w:val="0E7C7B"/>
          <w:sz w:val="24"/>
          <w:szCs w:val="24"/>
        </w:rPr>
        <w:t xml:space="preserve">What CP brings to AI Labs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pre-tiered, pre-archetyped demand pipeline — 25 use cases already mapped, so AI Labs builds 6 patterns + 4 platforms, not 25 bespoke things. Reuse is the pitch.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Domain standards and golden sets — per-use-case evals, entitlement maps, deterministic rule sets (covenant, fee, and ratio math), and abstention thresholds. AI Labs has no domain SMEs to author these.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MRM obligations — Tier-1/2 model-validation ownership sits with CP and Risk, not the platform team.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Sequencing discipline — four delivery waves give AI Labs a build order tied to real exit criteria, not a wishlist.</w:t>
      </w:r>
    </w:p>
    <w:p>
      <w:r>
        <w:br w:type="page"/>
      </w:r>
    </w:p>
    <w:p>
      <w:pPr>
        <w:pStyle w:val="Heading1"/>
      </w:pPr>
      <w:r>
        <w:t xml:space="preserve">3 · Portfolio and waves</w:t>
      </w:r>
    </w:p>
    <w:p>
      <w:pPr>
        <w:spacing w:after="160"/>
      </w:pPr>
      <w:r>
        <w:rPr>
          <w:i/>
          <w:iCs/>
          <w:color w:val="5A6B7B"/>
          <w:sz w:val="22"/>
          <w:szCs w:val="22"/>
        </w:rPr>
        <w:t xml:space="preserve">25 use cases, 6 archetypes, 3 risk tiers, 4 waves. The full filterable table lives in the companion workbook; the shape is below.</w:t>
      </w:r>
    </w:p>
    <w:p>
      <w:pPr>
        <w:spacing w:after="120"/>
      </w:pPr>
      <w:r>
        <w:t xml:space="preserve">By archetype: A1 Extract &amp; Validate and A4 Draft with Evidence carry the most use cases; A4 alone anchors seven primaries. By risk tier: 5 Tier-1 (propose-only, permanently), 13 Tier-2 (execute with approval), 7 Tier-3 (sampled review).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6560"/>
        <w:gridCol w:w="800"/>
      </w:tblGrid>
      <w:tr>
        <w:trPr>
          <w:tblHeader/>
        </w:trPr>
        <w:tc>
          <w:tcPr>
            <w:tcW w:type="dxa" w:w="9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Wave</w:t>
            </w:r>
          </w:p>
        </w:tc>
        <w:tc>
          <w:tcPr>
            <w:tcW w:type="dxa" w:w="11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Window</w:t>
            </w:r>
          </w:p>
        </w:tc>
        <w:tc>
          <w:tcPr>
            <w:tcW w:type="dxa" w:w="65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Theme</w:t>
            </w:r>
          </w:p>
        </w:tc>
        <w:tc>
          <w:tcPr>
            <w:tcW w:type="dxa" w:w="8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</w:tr>
      <w:tr>
        <w:tc>
          <w:tcPr>
            <w:tcW w:type="dxa" w:w="9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E7C7B"/>
                <w:sz w:val="19"/>
                <w:szCs w:val="19"/>
              </w:rPr>
              <w:t xml:space="preserve">W1</w:t>
            </w:r>
          </w:p>
        </w:tc>
        <w:tc>
          <w:tcPr>
            <w:tcW w:type="dxa" w:w="11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0–3 mo</w:t>
            </w:r>
          </w:p>
        </w:tc>
        <w:tc>
          <w:tcPr>
            <w:tcW w:type="dxa" w:w="65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Internal trust-builders: drafts-only, high volume, low blast radius (notetaker, SDLC docs, investor copilot, CPMS search).</w:t>
            </w:r>
          </w:p>
        </w:tc>
        <w:tc>
          <w:tcPr>
            <w:tcW w:type="dxa" w:w="8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E7C7B"/>
                <w:sz w:val="19"/>
                <w:szCs w:val="19"/>
              </w:rPr>
              <w:t xml:space="preserve">W2</w:t>
            </w:r>
          </w:p>
        </w:tc>
        <w:tc>
          <w:tcPr>
            <w:tcW w:type="dxa" w:w="11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3–6 mo</w:t>
            </w:r>
          </w:p>
        </w:tc>
        <w:tc>
          <w:tcPr>
            <w:tcW w:type="dxa" w:w="65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Evidence-drafting and screening at scale once deterministic cores are proven.</w:t>
            </w:r>
          </w:p>
        </w:tc>
        <w:tc>
          <w:tcPr>
            <w:tcW w:type="dxa" w:w="8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9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E7C7B"/>
                <w:sz w:val="19"/>
                <w:szCs w:val="19"/>
              </w:rPr>
              <w:t xml:space="preserve">W3</w:t>
            </w:r>
          </w:p>
        </w:tc>
        <w:tc>
          <w:tcPr>
            <w:tcW w:type="dxa" w:w="11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6–12 mo</w:t>
            </w:r>
          </w:p>
        </w:tc>
        <w:tc>
          <w:tcPr>
            <w:tcW w:type="dxa" w:w="65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Regulated monitoring and client-sensitive systems (covenant monitor, fee compliance, K-1, relationship memory).</w:t>
            </w:r>
          </w:p>
        </w:tc>
        <w:tc>
          <w:tcPr>
            <w:tcW w:type="dxa" w:w="8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9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E7C7B"/>
                <w:sz w:val="19"/>
                <w:szCs w:val="19"/>
              </w:rPr>
              <w:t xml:space="preserve">W4</w:t>
            </w:r>
          </w:p>
        </w:tc>
        <w:tc>
          <w:tcPr>
            <w:tcW w:type="dxa" w:w="11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12+ mo</w:t>
            </w:r>
          </w:p>
        </w:tc>
        <w:tc>
          <w:tcPr>
            <w:tcW w:type="dxa" w:w="65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Fiduciary and funding-critical (trust synoptic, term sheet-to-booking): mature platform, permanent propose-only.</w:t>
            </w:r>
          </w:p>
        </w:tc>
        <w:tc>
          <w:tcPr>
            <w:tcW w:type="dxa" w:w="8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</w:tr>
    </w:tbl>
    <w:p>
      <w:pPr>
        <w:spacing w:before="120"/>
      </w:pPr>
    </w:p>
    <w:p>
      <w:pPr>
        <w:spacing w:after="120"/>
        <w:rPr>
          <w:color w:val="5A6B7B"/>
        </w:rPr>
      </w:pPr>
      <w:r>
        <w:rPr>
          <w:color w:val="5A6B7B"/>
        </w:rPr>
        <w:t xml:space="preserve">Capability compounds: each wave's exit criteria are the next wave's entry criteria. W1 stands up the gateway, audit store, and eval harness; nothing client-sensitive ships until those are live and tuned on real traffic.</w:t>
      </w:r>
    </w:p>
    <w:p>
      <w:r>
        <w:br w:type="page"/>
      </w:r>
    </w:p>
    <w:p>
      <w:pPr>
        <w:pStyle w:val="Heading1"/>
      </w:pPr>
      <w:r>
        <w:t xml:space="preserve">4 · What CP asks AI Labs to build</w:t>
      </w:r>
    </w:p>
    <w:p>
      <w:pPr>
        <w:spacing w:after="160"/>
      </w:pPr>
      <w:r>
        <w:rPr>
          <w:i/>
          <w:iCs/>
          <w:color w:val="5A6B7B"/>
          <w:sz w:val="22"/>
          <w:szCs w:val="22"/>
        </w:rPr>
        <w:t xml:space="preserve">Two-part ask. Part A is the non-negotiable foundation. Part B is the target architecture. Each carries acceptance criteria CP will test — we commit to verify, not just request.</w:t>
      </w:r>
    </w:p>
    <w:p>
      <w:pPr>
        <w:pStyle w:val="Heading2"/>
      </w:pPr>
      <w:r>
        <w:t xml:space="preserve">Part A — Phase 1 foundation (8 mandatory services)</w:t>
      </w:r>
    </w:p>
    <w:p>
      <w:pPr>
        <w:spacing w:after="120"/>
      </w:pPr>
      <w:r>
        <w:t xml:space="preserve">Every use case inherits these. Without them, teams build demos, not enterprise solutions. Most are Wave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Foundation service</w:t>
            </w:r>
          </w:p>
        </w:tc>
        <w:tc>
          <w:tcPr>
            <w:tcW w:type="dxa" w:w="67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is mandatory</w:t>
            </w:r>
          </w:p>
        </w:tc>
      </w:tr>
      <w:tr>
        <w:tc>
          <w:tcPr>
            <w:tcW w:type="dxa" w:w="26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AI Gateway</w:t>
            </w:r>
          </w:p>
        </w:tc>
        <w:tc>
          <w:tcPr>
            <w:tcW w:type="dxa" w:w="67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Provider routing; per-request data-class enforcement (restricted→self-host, confidential→VPC, internal→SaaS); budgets; kill switch per use case; deterministic fallback.</w:t>
            </w:r>
          </w:p>
        </w:tc>
      </w:tr>
      <w:tr>
        <w:tc>
          <w:tcPr>
            <w:tcW w:type="dxa" w:w="26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Prompt Registry</w:t>
            </w:r>
          </w:p>
        </w:tc>
        <w:tc>
          <w:tcPr>
            <w:tcW w:type="dxa" w:w="67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Version-controlled prompts, templates, rubrics; semantic diff; read-only in production. No production output from an unregistered prompt.</w:t>
            </w:r>
          </w:p>
        </w:tc>
      </w:tr>
      <w:tr>
        <w:tc>
          <w:tcPr>
            <w:tcW w:type="dxa" w:w="26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Model Registry</w:t>
            </w:r>
          </w:p>
        </w:tc>
        <w:tc>
          <w:tcPr>
            <w:tcW w:type="dxa" w:w="67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Inventory of every model, fine-tune, and embedding; version pinning; model cards; deprecation workflow; links to validation evidence.</w:t>
            </w:r>
          </w:p>
        </w:tc>
      </w:tr>
      <w:tr>
        <w:tc>
          <w:tcPr>
            <w:tcW w:type="dxa" w:w="26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Audit &amp; Trace Store</w:t>
            </w:r>
          </w:p>
        </w:tc>
        <w:tc>
          <w:tcPr>
            <w:tcW w:type="dxa" w:w="67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WORM-quality capture of prompt, retrieved spans, tool calls, model+version, approval identity. Replayable per request within one business day.</w:t>
            </w:r>
          </w:p>
        </w:tc>
      </w:tr>
      <w:tr>
        <w:tc>
          <w:tcPr>
            <w:tcW w:type="dxa" w:w="26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Vector &amp; Knowledge Platform</w:t>
            </w:r>
          </w:p>
        </w:tc>
        <w:tc>
          <w:tcPr>
            <w:tcW w:type="dxa" w:w="67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Entitlement filtering at query time (not post-filter); hybrid retrieval + reranking; citation spans; CDC re-index within freshness SLA.</w:t>
            </w:r>
          </w:p>
        </w:tc>
      </w:tr>
      <w:tr>
        <w:tc>
          <w:tcPr>
            <w:tcW w:type="dxa" w:w="26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Document Processing Service</w:t>
            </w:r>
          </w:p>
        </w:tc>
        <w:tc>
          <w:tcPr>
            <w:tcW w:type="dxa" w:w="67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Multi-format parsing; per-type extraction schemas; field-level confidence; HITL queue API; pending-state write protocol to systems of record.</w:t>
            </w:r>
          </w:p>
        </w:tc>
      </w:tr>
      <w:tr>
        <w:tc>
          <w:tcPr>
            <w:tcW w:type="dxa" w:w="26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Evaluation Framework</w:t>
            </w:r>
          </w:p>
        </w:tc>
        <w:tc>
          <w:tcPr>
            <w:tcW w:type="dxa" w:w="67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Versioned golden sets; rubric engine; calibrated LLM-judge; trajectory evals; CI gate; production sampling; groundedness metrics.</w:t>
            </w:r>
          </w:p>
        </w:tc>
      </w:tr>
      <w:tr>
        <w:tc>
          <w:tcPr>
            <w:tcW w:type="dxa" w:w="26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Security Controls Layer</w:t>
            </w:r>
          </w:p>
        </w:tc>
        <w:tc>
          <w:tcPr>
            <w:tcW w:type="dxa" w:w="67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Input PII detection/redaction; injection defense; output policy filter; per-tool scoped credentials; entitlement propagation.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Part B — Four platform services (the target architecture)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3200"/>
        <w:gridCol w:w="3360"/>
        <w:gridCol w:w="1050"/>
      </w:tblGrid>
      <w:tr>
        <w:trPr>
          <w:tblHeader/>
        </w:trPr>
        <w:tc>
          <w:tcPr>
            <w:tcW w:type="dxa" w:w="175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AI Labs delivers (reusable)</w:t>
            </w:r>
          </w:p>
        </w:tc>
        <w:tc>
          <w:tcPr>
            <w:tcW w:type="dxa" w:w="33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 configures (per use case)</w:t>
            </w:r>
          </w:p>
        </w:tc>
        <w:tc>
          <w:tcPr>
            <w:tcW w:type="dxa" w:w="105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12-mo reuse</w:t>
            </w:r>
          </w:p>
        </w:tc>
      </w:tr>
      <w:tr>
        <w:tc>
          <w:tcPr>
            <w:tcW w:type="dxa" w:w="175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Knowledge &amp; RAG</w:t>
            </w:r>
          </w:p>
        </w:tc>
        <w:tc>
          <w:tcPr>
            <w:tcW w:type="dxa" w:w="32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Multi-corpus retrieval, citation service, KG connector, CDC ingestion, freshness monitor, query rewriting.</w:t>
            </w:r>
          </w:p>
        </w:tc>
        <w:tc>
          <w:tcPr>
            <w:tcW w:type="dxa" w:w="33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Source list, entitlement map, chunking, abstention threshold, citation format, freshness SLA.</w:t>
            </w:r>
          </w:p>
        </w:tc>
        <w:tc>
          <w:tcPr>
            <w:tcW w:type="dxa" w:w="105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≥10</w:t>
            </w:r>
          </w:p>
        </w:tc>
      </w:tr>
      <w:tr>
        <w:tc>
          <w:tcPr>
            <w:tcW w:type="dxa" w:w="175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Document Intelligence</w:t>
            </w:r>
          </w:p>
        </w:tc>
        <w:tc>
          <w:tcPr>
            <w:tcW w:type="dxa" w:w="32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Multi-format parser, schema library, confidence scorer, HITL queue, pending-write adapter, extraction eval runner.</w:t>
            </w:r>
          </w:p>
        </w:tc>
        <w:tc>
          <w:tcPr>
            <w:tcW w:type="dxa" w:w="33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Schema per type, confidence thresholds, queue routing, SoR write mapping, eval set.</w:t>
            </w:r>
          </w:p>
        </w:tc>
        <w:tc>
          <w:tcPr>
            <w:tcW w:type="dxa" w:w="105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≥8</w:t>
            </w:r>
          </w:p>
        </w:tc>
      </w:tr>
      <w:tr>
        <w:tc>
          <w:tcPr>
            <w:tcW w:type="dxa" w:w="175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Workflow Agent</w:t>
            </w:r>
          </w:p>
        </w:tc>
        <w:tc>
          <w:tcPr>
            <w:tcW w:type="dxa" w:w="32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Workflow engine (plan-then-execute + ReAct), MCP tool registry, memory service, maker-checker, trace viewer, budget enforcer.</w:t>
            </w:r>
          </w:p>
        </w:tc>
        <w:tc>
          <w:tcPr>
            <w:tcW w:type="dxa" w:w="33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Tool definitions, autonomy tier, approval routing, budgets, memory write policy, escalation.</w:t>
            </w:r>
          </w:p>
        </w:tc>
        <w:tc>
          <w:tcPr>
            <w:tcW w:type="dxa" w:w="105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≥6</w:t>
            </w:r>
          </w:p>
        </w:tc>
      </w:tr>
      <w:tr>
        <w:tc>
          <w:tcPr>
            <w:tcW w:type="dxa" w:w="175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Predictive Intelligence</w:t>
            </w:r>
          </w:p>
        </w:tc>
        <w:tc>
          <w:tcPr>
            <w:tcW w:type="dxa" w:w="32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MRM-registered ML serving, feature store, ensemble controller, performance monitor, SHAP/LIME layer, drift detection.</w:t>
            </w:r>
          </w:p>
        </w:tc>
        <w:tc>
          <w:tcPr>
            <w:tcW w:type="dxa" w:w="33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Feature definitions, validation evidence, monitoring thresholds, explainability format, MRM docs.</w:t>
            </w:r>
          </w:p>
        </w:tc>
        <w:tc>
          <w:tcPr>
            <w:tcW w:type="dxa" w:w="105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≥3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 · Intake → production contract</w:t>
      </w:r>
    </w:p>
    <w:p>
      <w:pPr>
        <w:spacing w:after="160"/>
      </w:pPr>
      <w:r>
        <w:rPr>
          <w:i/>
          <w:iCs/>
          <w:color w:val="5A6B7B"/>
          <w:sz w:val="22"/>
          <w:szCs w:val="22"/>
        </w:rPr>
        <w:t xml:space="preserve">The lifecycle that turns CP demand into a governed, AI Labs-hosted production system. This is the piece neither source artifact yet specifies — it is the working interface between the two teams.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30"/>
        <w:gridCol w:w="3030"/>
        <w:gridCol w:w="2000"/>
      </w:tblGrid>
      <w:tr>
        <w:trPr>
          <w:tblHeader/>
        </w:trPr>
        <w:tc>
          <w:tcPr>
            <w:tcW w:type="dxa" w:w="13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303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CP (LOB Architect)</w:t>
            </w:r>
          </w:p>
        </w:tc>
        <w:tc>
          <w:tcPr>
            <w:tcW w:type="dxa" w:w="303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AI Labs</w:t>
            </w:r>
          </w:p>
        </w:tc>
        <w:tc>
          <w:tcPr>
            <w:tcW w:type="dxa" w:w="20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Exit gate</w:t>
            </w:r>
          </w:p>
        </w:tc>
      </w:tr>
      <w:tr>
        <w:tc>
          <w:tcPr>
            <w:tcW w:type="dxa" w:w="13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E7C7B"/>
                <w:sz w:val="19"/>
                <w:szCs w:val="19"/>
              </w:rPr>
              <w:t xml:space="preserve">1 Intake</w:t>
            </w:r>
          </w:p>
        </w:tc>
        <w:tc>
          <w:tcPr>
            <w:tcW w:type="dxa" w:w="303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Tier the use case; assign archetype + platform; define golden set and standards profile.</w:t>
            </w:r>
          </w:p>
        </w:tc>
        <w:tc>
          <w:tcPr>
            <w:tcW w:type="dxa" w:w="303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Confirm platform capability at the target maturity level.</w:t>
            </w:r>
          </w:p>
        </w:tc>
        <w:tc>
          <w:tcPr>
            <w:tcW w:type="dxa" w:w="20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Risk-tiering sign-off</w:t>
            </w:r>
          </w:p>
        </w:tc>
      </w:tr>
      <w:tr>
        <w:tc>
          <w:tcPr>
            <w:tcW w:type="dxa" w:w="13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E7C7B"/>
                <w:sz w:val="19"/>
                <w:szCs w:val="19"/>
              </w:rPr>
              <w:t xml:space="preserve">2 Build</w:t>
            </w:r>
          </w:p>
        </w:tc>
        <w:tc>
          <w:tcPr>
            <w:tcW w:type="dxa" w:w="303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Configure on platform (schemas, entitlements, rules, prompts); curate eval set.</w:t>
            </w:r>
          </w:p>
        </w:tc>
        <w:tc>
          <w:tcPr>
            <w:tcW w:type="dxa" w:w="303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Provide platform components; run CI evals on every change.</w:t>
            </w:r>
          </w:p>
        </w:tc>
        <w:tc>
          <w:tcPr>
            <w:tcW w:type="dxa" w:w="20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Target maturity level shown</w:t>
            </w:r>
          </w:p>
        </w:tc>
      </w:tr>
      <w:tr>
        <w:tc>
          <w:tcPr>
            <w:tcW w:type="dxa" w:w="13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E7C7B"/>
                <w:sz w:val="19"/>
                <w:szCs w:val="19"/>
              </w:rPr>
              <w:t xml:space="preserve">3 Release</w:t>
            </w:r>
          </w:p>
        </w:tc>
        <w:tc>
          <w:tcPr>
            <w:tcW w:type="dxa" w:w="303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Verify acceptance criteria; review segment-level eval breakdown.</w:t>
            </w:r>
          </w:p>
        </w:tc>
        <w:tc>
          <w:tcPr>
            <w:tcW w:type="dxa" w:w="303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Pass all six eval categories; produce an audit replay.</w:t>
            </w:r>
          </w:p>
        </w:tc>
        <w:tc>
          <w:tcPr>
            <w:tcW w:type="dxa" w:w="20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Architecture review gate</w:t>
            </w:r>
          </w:p>
        </w:tc>
      </w:tr>
      <w:tr>
        <w:tc>
          <w:tcPr>
            <w:tcW w:type="dxa" w:w="13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E7C7B"/>
                <w:sz w:val="19"/>
                <w:szCs w:val="19"/>
              </w:rPr>
              <w:t xml:space="preserve">4 Operate</w:t>
            </w:r>
          </w:p>
        </w:tc>
        <w:tc>
          <w:tcPr>
            <w:tcW w:type="dxa" w:w="303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Own MRM revalidation, golden-set refresh, chargeback budget.</w:t>
            </w:r>
          </w:p>
        </w:tc>
        <w:tc>
          <w:tcPr>
            <w:tcW w:type="dxa" w:w="303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Run platform; drift, latency, and cost monitoring; kill switch.</w:t>
            </w:r>
          </w:p>
        </w:tc>
        <w:tc>
          <w:tcPr>
            <w:tcW w:type="dxa" w:w="20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Quarterly eval review</w:t>
            </w:r>
          </w:p>
        </w:tc>
      </w:tr>
    </w:tbl>
    <w:p>
      <w:pPr>
        <w:spacing w:before="140"/>
      </w:pPr>
    </w:p>
    <w:p>
      <w:pPr>
        <w:spacing w:after="120"/>
        <w:rPr>
          <w:b/>
          <w:bCs/>
          <w:color w:val="B5651D"/>
        </w:rPr>
      </w:pPr>
      <w:r>
        <w:rPr>
          <w:b/>
          <w:bCs/>
          <w:color w:val="B5651D"/>
        </w:rPr>
        <w:t xml:space="preserve">Hard rule: no production output from an unregistered prompt, an unentitled retrieval, or an un-evaluated model. The gate is architectural, not procedural.</w:t>
      </w:r>
    </w:p>
    <w:p>
      <w:pPr>
        <w:pStyle w:val="Heading2"/>
      </w:pPr>
      <w:r>
        <w:t xml:space="preserve">Capability maturity model (5 levels)</w:t>
      </w:r>
    </w:p>
    <w:p>
      <w:pPr>
        <w:spacing w:after="120"/>
      </w:pPr>
      <w:r>
        <w:t xml:space="preserve">CP sets the target level per use case; AI Labs demonstrates platform capability at that level before production sign-off. Every use case starts at L1 today.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760"/>
      </w:tblGrid>
      <w:tr>
        <w:trPr>
          <w:tblHeader/>
        </w:trPr>
        <w:tc>
          <w:tcPr>
            <w:tcW w:type="dxa" w:w="9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27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Production gate</w:t>
            </w:r>
          </w:p>
        </w:tc>
      </w:tr>
      <w:tr>
        <w:tc>
          <w:tcPr>
            <w:tcW w:type="dxa" w:w="9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E7C7B"/>
                <w:sz w:val="19"/>
                <w:szCs w:val="19"/>
              </w:rPr>
              <w:t xml:space="preserve">L1</w:t>
            </w:r>
          </w:p>
        </w:tc>
        <w:tc>
          <w:tcPr>
            <w:tcW w:type="dxa" w:w="27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POC</w:t>
            </w:r>
          </w:p>
        </w:tc>
        <w:tc>
          <w:tcPr>
            <w:tcW w:type="dxa" w:w="57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Internal demo only. Not eligible for production data or client interaction.</w:t>
            </w:r>
          </w:p>
        </w:tc>
      </w:tr>
      <w:tr>
        <w:tc>
          <w:tcPr>
            <w:tcW w:type="dxa" w:w="9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E7C7B"/>
                <w:sz w:val="19"/>
                <w:szCs w:val="19"/>
              </w:rPr>
              <w:t xml:space="preserve">L2</w:t>
            </w:r>
          </w:p>
        </w:tc>
        <w:tc>
          <w:tcPr>
            <w:tcW w:type="dxa" w:w="27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Production Ready</w:t>
            </w:r>
          </w:p>
        </w:tc>
        <w:tc>
          <w:tcPr>
            <w:tcW w:type="dxa" w:w="57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Required for production. Prerequisite for any client-facing or data-touching use case.</w:t>
            </w:r>
          </w:p>
        </w:tc>
      </w:tr>
      <w:tr>
        <w:tc>
          <w:tcPr>
            <w:tcW w:type="dxa" w:w="9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E7C7B"/>
                <w:sz w:val="19"/>
                <w:szCs w:val="19"/>
              </w:rPr>
              <w:t xml:space="preserve">L3</w:t>
            </w:r>
          </w:p>
        </w:tc>
        <w:tc>
          <w:tcPr>
            <w:tcW w:type="dxa" w:w="27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Enterprise Platform</w:t>
            </w:r>
          </w:p>
        </w:tc>
        <w:tc>
          <w:tcPr>
            <w:tcW w:type="dxa" w:w="57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Required for shared platforms and high-volume Tier-2 use cases.</w:t>
            </w:r>
          </w:p>
        </w:tc>
      </w:tr>
      <w:tr>
        <w:tc>
          <w:tcPr>
            <w:tcW w:type="dxa" w:w="9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E7C7B"/>
                <w:sz w:val="19"/>
                <w:szCs w:val="19"/>
              </w:rPr>
              <w:t xml:space="preserve">L4</w:t>
            </w:r>
          </w:p>
        </w:tc>
        <w:tc>
          <w:tcPr>
            <w:tcW w:type="dxa" w:w="27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Agentic Platform</w:t>
            </w:r>
          </w:p>
        </w:tc>
        <w:tc>
          <w:tcPr>
            <w:tcW w:type="dxa" w:w="57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Required wherever AI takes actions, not just produces drafts.</w:t>
            </w:r>
          </w:p>
        </w:tc>
      </w:tr>
      <w:tr>
        <w:tc>
          <w:tcPr>
            <w:tcW w:type="dxa" w:w="9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E7C7B"/>
                <w:sz w:val="19"/>
                <w:szCs w:val="19"/>
              </w:rPr>
              <w:t xml:space="preserve">L5</w:t>
            </w:r>
          </w:p>
        </w:tc>
        <w:tc>
          <w:tcPr>
            <w:tcW w:type="dxa" w:w="27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AI Operating Model</w:t>
            </w:r>
          </w:p>
        </w:tc>
        <w:tc>
          <w:tcPr>
            <w:tcW w:type="dxa" w:w="57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Organizational maturity. Program target state at 18–24 months.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 · How success is measured</w:t>
      </w:r>
    </w:p>
    <w:p>
      <w:pPr>
        <w:spacing w:after="160"/>
      </w:pPr>
      <w:r>
        <w:rPr>
          <w:i/>
          <w:iCs/>
          <w:color w:val="5A6B7B"/>
          <w:sz w:val="22"/>
          <w:szCs w:val="22"/>
        </w:rPr>
        <w:t xml:space="preserve">Not chatbot count. Six targets at twelve months — the numbers a sponsor and a CTO can both hold the program 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760"/>
        <w:gridCol w:w="2500"/>
      </w:tblGrid>
      <w:tr>
        <w:trPr>
          <w:tblHeader/>
        </w:trPr>
        <w:tc>
          <w:tcPr>
            <w:tcW w:type="dxa" w:w="21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47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at 12 months</w:t>
            </w:r>
          </w:p>
        </w:tc>
        <w:tc>
          <w:tcPr>
            <w:tcW w:type="dxa" w:w="25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Measured how</w:t>
            </w:r>
          </w:p>
        </w:tc>
      </w:tr>
      <w:tr>
        <w:tc>
          <w:tcPr>
            <w:tcW w:type="dxa" w:w="21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Platform reuse</w:t>
            </w:r>
          </w:p>
        </w:tc>
        <w:tc>
          <w:tcPr>
            <w:tcW w:type="dxa" w:w="47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≥15 of 25 use cases on shared platform services, not bespoke builds.</w:t>
            </w:r>
          </w:p>
        </w:tc>
        <w:tc>
          <w:tcPr>
            <w:tcW w:type="dxa" w:w="25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Deployment registry count</w:t>
            </w:r>
          </w:p>
        </w:tc>
      </w:tr>
      <w:tr>
        <w:tc>
          <w:tcPr>
            <w:tcW w:type="dxa" w:w="21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Speed to 2nd use case</w:t>
            </w:r>
          </w:p>
        </w:tc>
        <w:tc>
          <w:tcPr>
            <w:tcW w:type="dxa" w:w="47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New use case in an established archetype onboards in ≤4 weeks.</w:t>
            </w:r>
          </w:p>
        </w:tc>
        <w:tc>
          <w:tcPr>
            <w:tcW w:type="dxa" w:w="25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Intake-to-production time</w:t>
            </w:r>
          </w:p>
        </w:tc>
      </w:tr>
      <w:tr>
        <w:tc>
          <w:tcPr>
            <w:tcW w:type="dxa" w:w="21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Eval coverage</w:t>
            </w:r>
          </w:p>
        </w:tc>
        <w:tc>
          <w:tcPr>
            <w:tcW w:type="dxa" w:w="47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100% of Tier-1/2 use cases have a golden set and CI gate before production.</w:t>
            </w:r>
          </w:p>
        </w:tc>
        <w:tc>
          <w:tcPr>
            <w:tcW w:type="dxa" w:w="25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Eval registry</w:t>
            </w:r>
          </w:p>
        </w:tc>
      </w:tr>
      <w:tr>
        <w:tc>
          <w:tcPr>
            <w:tcW w:type="dxa" w:w="21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Audit readiness</w:t>
            </w:r>
          </w:p>
        </w:tc>
        <w:tc>
          <w:tcPr>
            <w:tcW w:type="dxa" w:w="47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Any Tier-1/2 output reproducible for examiners within 1 business day.</w:t>
            </w:r>
          </w:p>
        </w:tc>
        <w:tc>
          <w:tcPr>
            <w:tcW w:type="dxa" w:w="25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Audit store spot-test</w:t>
            </w:r>
          </w:p>
        </w:tc>
      </w:tr>
      <w:tr>
        <w:tc>
          <w:tcPr>
            <w:tcW w:type="dxa" w:w="21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Governance</w:t>
            </w:r>
          </w:p>
        </w:tc>
        <w:tc>
          <w:tcPr>
            <w:tcW w:type="dxa" w:w="47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Zero Tier-1 outputs released without maker-checker; zero unregistered production systems.</w:t>
            </w:r>
          </w:p>
        </w:tc>
        <w:tc>
          <w:tcPr>
            <w:tcW w:type="dxa" w:w="25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Registry + HITL log</w:t>
            </w:r>
          </w:p>
        </w:tc>
      </w:tr>
      <w:tr>
        <w:tc>
          <w:tcPr>
            <w:tcW w:type="dxa" w:w="21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Cost per outcome</w:t>
            </w:r>
          </w:p>
        </w:tc>
        <w:tc>
          <w:tcPr>
            <w:tcW w:type="dxa" w:w="47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Cost per resolved task tracked per use case; total spend under approved budget.</w:t>
            </w:r>
          </w:p>
        </w:tc>
        <w:tc>
          <w:tcPr>
            <w:tcW w:type="dxa" w:w="25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Gateway FinOps dashboard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 · Architecture standards</w:t>
      </w:r>
    </w:p>
    <w:p>
      <w:pPr>
        <w:spacing w:after="160"/>
      </w:pPr>
      <w:r>
        <w:rPr>
          <w:i/>
          <w:iCs/>
          <w:color w:val="5A6B7B"/>
          <w:sz w:val="22"/>
          <w:szCs w:val="22"/>
        </w:rPr>
        <w:t xml:space="preserve">Four published standards every production AI solution must satisfy. Verified at the architecture review gate. The ARB's checklist.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4660"/>
        <w:gridCol w:w="2650"/>
      </w:tblGrid>
      <w:tr>
        <w:trPr>
          <w:tblHeader/>
        </w:trPr>
        <w:tc>
          <w:tcPr>
            <w:tcW w:type="dxa" w:w="205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46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Principle</w:t>
            </w:r>
          </w:p>
        </w:tc>
        <w:tc>
          <w:tcPr>
            <w:tcW w:type="dxa" w:w="265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Applies to / exemptions</w:t>
            </w:r>
          </w:p>
        </w:tc>
      </w:tr>
      <w:tr>
        <w:tc>
          <w:tcPr>
            <w:tcW w:type="dxa" w:w="205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T · Traceability</w:t>
            </w:r>
          </w:p>
        </w:tc>
        <w:tc>
          <w:tcPr>
            <w:tcW w:type="dxa" w:w="46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Complete, replayable evidence chain from question to answer; Tier-1/2 reproducible within 1 business day.</w:t>
            </w:r>
          </w:p>
        </w:tc>
        <w:tc>
          <w:tcPr>
            <w:tcW w:type="dxa" w:w="265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All tiers. No exemptions.</w:t>
            </w:r>
          </w:p>
        </w:tc>
      </w:tr>
      <w:tr>
        <w:tc>
          <w:tcPr>
            <w:tcW w:type="dxa" w:w="205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E · Explainability</w:t>
            </w:r>
          </w:p>
        </w:tc>
        <w:tc>
          <w:tcPr>
            <w:tcW w:type="dxa" w:w="46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Source, citation, and confidence on every answer; citation-or-silence enforced architecturally for Credit, Investment, Trust, Compliance.</w:t>
            </w:r>
          </w:p>
        </w:tc>
        <w:tc>
          <w:tcPr>
            <w:tcW w:type="dxa" w:w="265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Tier-1/2. Internal productivity tools may skip per-claim citation.</w:t>
            </w:r>
          </w:p>
        </w:tc>
      </w:tr>
      <w:tr>
        <w:tc>
          <w:tcPr>
            <w:tcW w:type="dxa" w:w="205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S · Security</w:t>
            </w:r>
          </w:p>
        </w:tc>
        <w:tc>
          <w:tcPr>
            <w:tcW w:type="dxa" w:w="46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RBAC at retrieval (not post-generation); PII redacted pre-model; injection defense; least-privilege scoped agents; tamper-evident audit; VPC/air-gap per data class.</w:t>
            </w:r>
          </w:p>
        </w:tc>
        <w:tc>
          <w:tcPr>
            <w:tcW w:type="dxa" w:w="265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All tiers. No exemptions.</w:t>
            </w:r>
          </w:p>
        </w:tc>
      </w:tr>
      <w:tr>
        <w:tc>
          <w:tcPr>
            <w:tcW w:type="dxa" w:w="205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H · Human-in-the-Loop</w:t>
            </w:r>
          </w:p>
        </w:tc>
        <w:tc>
          <w:tcPr>
            <w:tcW w:type="dxa" w:w="46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Gates tiered by blast radius; maker-checker shows full evidence ledger; Tier-1 propose-only permanently; no AI-to-AI approval for Tier-1.</w:t>
            </w:r>
          </w:p>
        </w:tc>
        <w:tc>
          <w:tcPr>
            <w:tcW w:type="dxa" w:w="265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Client-facing, regulatory, booking, fee, fiduciary. Internal read-only on sampled review.</w:t>
            </w:r>
          </w:p>
        </w:tc>
      </w:tr>
    </w:tbl>
    <w:p>
      <w:pPr>
        <w:pStyle w:val="Heading1"/>
      </w:pPr>
      <w:r>
        <w:t xml:space="preserve">8 · Evaluation framework — what “shipped” means</w:t>
      </w:r>
    </w:p>
    <w:p>
      <w:pPr>
        <w:spacing w:after="160"/>
      </w:pPr>
      <w:r>
        <w:rPr>
          <w:i/>
          <w:iCs/>
          <w:color w:val="5A6B7B"/>
          <w:sz w:val="22"/>
          <w:szCs w:val="22"/>
        </w:rPr>
        <w:t xml:space="preserve">The most common failure point in enterprise AI. CP will not sign off on production without evidence against all six. “If you can't measure it, you shipped a demo.”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560"/>
        <w:gridCol w:w="2500"/>
      </w:tblGrid>
      <w:tr>
        <w:trPr>
          <w:tblHeader/>
        </w:trPr>
        <w:tc>
          <w:tcPr>
            <w:tcW w:type="dxa" w:w="23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5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good looks like</w:t>
            </w:r>
          </w:p>
        </w:tc>
        <w:tc>
          <w:tcPr>
            <w:tcW w:type="dxa" w:w="25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Accountable</w:t>
            </w:r>
          </w:p>
        </w:tc>
      </w:tr>
      <w:tr>
        <w:tc>
          <w:tcPr>
            <w:tcW w:type="dxa" w:w="23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Golden test sets</w:t>
            </w:r>
          </w:p>
        </w:tc>
        <w:tc>
          <w:tcPr>
            <w:tcW w:type="dxa" w:w="45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30–50 cases/use case, stratified (happy 40 / edge 30 / adversarial 20 / abstention 10); refreshed monthly from prod failures.</w:t>
            </w:r>
          </w:p>
        </w:tc>
        <w:tc>
          <w:tcPr>
            <w:tcW w:type="dxa" w:w="25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CP curates; AI Labs runs; both approve.</w:t>
            </w:r>
          </w:p>
        </w:tc>
      </w:tr>
      <w:tr>
        <w:tc>
          <w:tcPr>
            <w:tcW w:type="dxa" w:w="23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Accuracy &amp; task success</w:t>
            </w:r>
          </w:p>
        </w:tc>
        <w:tc>
          <w:tcPr>
            <w:tcW w:type="dxa" w:w="45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Rubric-scored per dimension; threshold set before build; reported per segment, not just aggregate.</w:t>
            </w:r>
          </w:p>
        </w:tc>
        <w:tc>
          <w:tcPr>
            <w:tcW w:type="dxa" w:w="25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AI Labs CI; CP reviews segments.</w:t>
            </w:r>
          </w:p>
        </w:tc>
      </w:tr>
      <w:tr>
        <w:tc>
          <w:tcPr>
            <w:tcW w:type="dxa" w:w="23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Hallucination &amp; groundedness</w:t>
            </w:r>
          </w:p>
        </w:tc>
        <w:tc>
          <w:tcPr>
            <w:tcW w:type="dxa" w:w="45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Groundedness ≥95% for Tier-1/2; zero ungrounded claims in client-facing regulated output. Fails CI.</w:t>
            </w:r>
          </w:p>
        </w:tc>
        <w:tc>
          <w:tcPr>
            <w:tcW w:type="dxa" w:w="25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AI Labs tool; CP sets threshold.</w:t>
            </w:r>
          </w:p>
        </w:tc>
      </w:tr>
      <w:tr>
        <w:tc>
          <w:tcPr>
            <w:tcW w:type="dxa" w:w="23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Latency</w:t>
            </w:r>
          </w:p>
        </w:tc>
        <w:tc>
          <w:tcPr>
            <w:tcW w:type="dxa" w:w="45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p50 and p95 end-to-end incl. retrieval, guardrails, HITL queue; alert on &gt;20% degradation.</w:t>
            </w:r>
          </w:p>
        </w:tc>
        <w:tc>
          <w:tcPr>
            <w:tcW w:type="dxa" w:w="25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AI Labs instruments; CP reviews vs UX.</w:t>
            </w:r>
          </w:p>
        </w:tc>
      </w:tr>
      <w:tr>
        <w:tc>
          <w:tcPr>
            <w:tcW w:type="dxa" w:w="23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Cost per outcome</w:t>
            </w:r>
          </w:p>
        </w:tc>
        <w:tc>
          <w:tcPr>
            <w:tcW w:type="dxa" w:w="45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Cost per resolved task (not per token); budget ceiling at intake; gateway enforces; reported monthly.</w:t>
            </w:r>
          </w:p>
        </w:tc>
        <w:tc>
          <w:tcPr>
            <w:tcW w:type="dxa" w:w="25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AI Labs dashboard; CP owns ceiling.</w:t>
            </w:r>
          </w:p>
        </w:tc>
      </w:tr>
      <w:tr>
        <w:tc>
          <w:tcPr>
            <w:tcW w:type="dxa" w:w="23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Audit readiness</w:t>
            </w:r>
          </w:p>
        </w:tc>
        <w:tc>
          <w:tcPr>
            <w:tcW w:type="dxa" w:w="45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Any Tier-1/2 output reproducible within 1 business day; tamper-evident verification passes.</w:t>
            </w:r>
          </w:p>
        </w:tc>
        <w:tc>
          <w:tcPr>
            <w:tcW w:type="dxa" w:w="25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AI Labs store; CP spot-tests.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 · Risk tiers and autonomy</w:t>
      </w:r>
    </w:p>
    <w:p>
      <w:pPr>
        <w:spacing w:after="160"/>
      </w:pPr>
      <w:r>
        <w:rPr>
          <w:i/>
          <w:iCs/>
          <w:color w:val="5A6B7B"/>
          <w:sz w:val="22"/>
          <w:szCs w:val="22"/>
        </w:rPr>
        <w:t xml:space="preserve">The tier decides autonomy and controls. Assigned at intake, re-confirmed at every material change. The ARB's first question on any use case.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60"/>
        <w:gridCol w:w="3900"/>
        <w:gridCol w:w="800"/>
      </w:tblGrid>
      <w:tr>
        <w:trPr>
          <w:tblHeader/>
        </w:trPr>
        <w:tc>
          <w:tcPr>
            <w:tcW w:type="dxa" w:w="11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35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39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Autonomy ceiling</w:t>
            </w:r>
          </w:p>
        </w:tc>
        <w:tc>
          <w:tcPr>
            <w:tcW w:type="dxa" w:w="8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</w:tr>
      <w:tr>
        <w:tc>
          <w:tcPr>
            <w:tcW w:type="dxa" w:w="11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Tier 1</w:t>
            </w:r>
          </w:p>
        </w:tc>
        <w:tc>
          <w:tcPr>
            <w:tcW w:type="dxa" w:w="35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Touches client money, tax/regulatory filings, funding instructions, or fiduciary conclusions.</w:t>
            </w:r>
          </w:p>
        </w:tc>
        <w:tc>
          <w:tcPr>
            <w:tcW w:type="dxa" w:w="39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Propose-only, permanently. Promotion is an MRM event, never a product decision.</w:t>
            </w:r>
          </w:p>
        </w:tc>
        <w:tc>
          <w:tcPr>
            <w:tcW w:type="dxa" w:w="8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1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Tier 2</w:t>
            </w:r>
          </w:p>
        </w:tc>
        <w:tc>
          <w:tcPr>
            <w:tcW w:type="dxa" w:w="35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Client-facing content, client PII, regulated monitoring, or inputs to client decisions.</w:t>
            </w:r>
          </w:p>
        </w:tc>
        <w:tc>
          <w:tcPr>
            <w:tcW w:type="dxa" w:w="39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Execute with approval: a named human releases every consequential output.</w:t>
            </w:r>
          </w:p>
        </w:tc>
        <w:tc>
          <w:tcPr>
            <w:tcW w:type="dxa" w:w="8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shd w:fill="F2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11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Tier 3</w:t>
            </w:r>
          </w:p>
        </w:tc>
        <w:tc>
          <w:tcPr>
            <w:tcW w:type="dxa" w:w="356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Internal productivity and research with reversible outputs reviewed in normal workflow.</w:t>
            </w:r>
          </w:p>
        </w:tc>
        <w:tc>
          <w:tcPr>
            <w:tcW w:type="dxa" w:w="39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Execute with sampled review: outputs flow; a defined sample is QC'd.</w:t>
            </w:r>
          </w:p>
        </w:tc>
        <w:tc>
          <w:tcPr>
            <w:tcW w:type="dxa" w:w="800"/>
            <w:tcBorders>
              <w:top w:val="single" w:color="C7D2DC" w:sz="1"/>
              <w:left w:val="single" w:color="C7D2DC" w:sz="1"/>
              <w:bottom w:val="single" w:color="C7D2DC" w:sz="1"/>
              <w:right w:val="single" w:color="C7D2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</w:tr>
    </w:tbl>
    <w:p>
      <w:pPr>
        <w:spacing w:before="200"/>
      </w:pPr>
    </w:p>
    <w:p>
      <w:pPr>
        <w:spacing w:after="120"/>
        <w:rPr>
          <w:b/>
          <w:bCs/>
          <w:color w:val="0E7C7B"/>
          <w:sz w:val="24"/>
          <w:szCs w:val="24"/>
        </w:rPr>
      </w:pPr>
      <w:r>
        <w:rPr>
          <w:b/>
          <w:bCs/>
          <w:color w:val="0E7C7B"/>
          <w:sz w:val="24"/>
          <w:szCs w:val="24"/>
        </w:rPr>
        <w:t xml:space="preserve">Companion artifacts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CP-AILabs-Framework-Consolidated.xlsx — the full filterable workbook: portfolio, archetypes, platform ask, maturity, standards, eval, tiers, roadmap.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CP-AILabs-Framework-Briefing.pptx — the audience-grouped executive deck built on this framework.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mbria" w:cs="Cambria" w:eastAsia="Cambria" w:hAnsi="Cambria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mbria" w:cs="Cambria" w:eastAsia="Cambria" w:hAnsi="Cambria"/>
      <w:b/>
      <w:bCs/>
      <w:color w:val="0E7C7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2026-06-16T15:15:31.885Z</dcterms:created>
  <dcterms:modified xsi:type="dcterms:W3CDTF">2026-06-16T15:15:31.895Z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