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SWP Migration — Stage 2 Canonical Data Model</w:t>
      </w:r>
    </w:p>
    <w:p>
      <w:pPr>
        <w:spacing w:after="60"/>
      </w:pPr>
      <w:r>
        <w:rPr>
          <w:color w:val="595959"/>
          <w:sz w:val="22"/>
          <w:szCs w:val="22"/>
        </w:rPr>
        <w:t xml:space="preserve">High-Level Design: Canonical Silver, Performance Principles, and Gold-as-Legacy-Facade Governance</w:t>
      </w:r>
    </w:p>
    <w:p>
      <w:pPr>
        <w:pBdr>
          <w:bottom w:val="single" w:color="1F3864" w:sz="8"/>
        </w:pBdr>
        <w:spacing w:after="200"/>
      </w:pPr>
      <w:r>
        <w:rPr>
          <w:i/>
          <w:iCs/>
          <w:color w:val="595959"/>
          <w:sz w:val="18"/>
          <w:szCs w:val="18"/>
        </w:rPr>
        <w:t xml:space="preserve">Capital Partners Technology — Architecture Review Board Briefing  |  Draft for discussion</w:t>
      </w:r>
    </w:p>
    <w:p>
      <w:pPr>
        <w:pStyle w:val="Heading1"/>
        <w:spacing w:after="120" w:before="280"/>
      </w:pPr>
      <w:r>
        <w:rPr>
          <w:b/>
          <w:bCs/>
          <w:color w:val="1F3864"/>
          <w:sz w:val="26"/>
          <w:szCs w:val="26"/>
        </w:rPr>
        <w:t xml:space="preserve">1. Design Position</w:t>
      </w:r>
    </w:p>
    <w:p>
      <w:pPr>
        <w:spacing w:after="100"/>
      </w:pPr>
      <w:r>
        <w:rPr>
          <w:sz w:val="20"/>
          <w:szCs w:val="20"/>
        </w:rPr>
        <w:t xml:space="preserve">Stage 2 inverts the classic medallion reading: the Silver canonical layer is the target state, and the Gold layer is a legacy compatibility facade that preserves AddVantage-era contracts for existing consumers. Consumer migration means moving consumers off Gold onto canonical contracts — not onto Gold. The canonical model is vendor-agnostic: FIBO is used as the semantic reference and ISO 20022 for transaction and settlement alignment, but the physical model is a slim, custom canonical entity set owned by BBH, not a wholesale industry-model adoption.</w:t>
      </w:r>
    </w:p>
    <w:p>
      <w:pPr>
        <w:pStyle w:val="ListParagraph"/>
        <w:numPr>
          <w:ilvl w:val="0"/>
          <w:numId w:val="2"/>
        </w:numPr>
        <w:spacing w:after="60"/>
      </w:pPr>
      <w:r>
        <w:rPr>
          <w:b/>
          <w:bCs/>
          <w:sz w:val="20"/>
          <w:szCs w:val="20"/>
        </w:rPr>
        <w:t xml:space="preserve">Silver — </w:t>
      </w:r>
      <w:r>
        <w:rPr>
          <w:sz w:val="20"/>
          <w:szCs w:val="20"/>
        </w:rPr>
        <w:t xml:space="preserve">Canonical, bitemporal, event-sourced system of analysis. Sole long-term contract surface; the only layer that replatforms to Databricks.</w:t>
      </w:r>
    </w:p>
    <w:p>
      <w:pPr>
        <w:pStyle w:val="ListParagraph"/>
        <w:numPr>
          <w:ilvl w:val="0"/>
          <w:numId w:val="2"/>
        </w:numPr>
        <w:spacing w:after="60"/>
      </w:pPr>
      <w:r>
        <w:rPr>
          <w:b/>
          <w:bCs/>
          <w:sz w:val="20"/>
          <w:szCs w:val="20"/>
        </w:rPr>
        <w:t xml:space="preserve">Gold — </w:t>
      </w:r>
      <w:r>
        <w:rPr>
          <w:sz w:val="20"/>
          <w:szCs w:val="20"/>
        </w:rPr>
        <w:t xml:space="preserve">Legacy-shaped facades (AddVantage-compatible views/tables). A deprecation surface with a measured burn-down, retired consumer by consumer.</w:t>
      </w:r>
    </w:p>
    <w:p>
      <w:pPr>
        <w:pStyle w:val="ListParagraph"/>
        <w:numPr>
          <w:ilvl w:val="0"/>
          <w:numId w:val="2"/>
        </w:numPr>
        <w:spacing w:after="60"/>
      </w:pPr>
      <w:r>
        <w:rPr>
          <w:b/>
          <w:bCs/>
          <w:sz w:val="20"/>
          <w:szCs w:val="20"/>
        </w:rPr>
        <w:t xml:space="preserve">Bronze — </w:t>
      </w:r>
      <w:r>
        <w:rPr>
          <w:sz w:val="20"/>
          <w:szCs w:val="20"/>
        </w:rPr>
        <w:t xml:space="preserve">As-landed SWP, AddVantage, and vendor data with source fidelity; enrichment happens between Bronze and Silver as governed dbt models.</w:t>
      </w:r>
    </w:p>
    <w:p>
      <w:pPr>
        <w:pStyle w:val="Heading1"/>
        <w:spacing w:after="120" w:before="280"/>
      </w:pPr>
      <w:r>
        <w:rPr>
          <w:b/>
          <w:bCs/>
          <w:color w:val="1F3864"/>
          <w:sz w:val="26"/>
          <w:szCs w:val="26"/>
        </w:rPr>
        <w:t xml:space="preserve">2. Canonical Entity Model (Silver)</w:t>
      </w:r>
    </w:p>
    <w:p>
      <w:pPr>
        <w:spacing w:after="100"/>
      </w:pPr>
      <w:r>
        <w:rPr>
          <w:sz w:val="20"/>
          <w:szCs w:val="20"/>
        </w:rPr>
        <w:t xml:space="preserve">Approximately twelve core entities cover wealth ABOR. Core tables stay narrow; consumer- or domain-specific attributes live in extension tables. Every core row carries effective_from/effective_to (business time), asserted_from/asserted_to (system time), source_system, and source_natural_key.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1750"/>
        <w:gridCol w:w="2050"/>
        <w:gridCol w:w="1550"/>
        <w:gridCol w:w="2150"/>
      </w:tblGrid>
      <w:tr>
        <w:trPr>
          <w:tblHeader/>
        </w:trPr>
        <w:tc>
          <w:tcPr>
            <w:tcW w:type="dxa" w:w="1450"/>
            <w:shd w:fill="1F3864" w:val="clear"/>
            <w:tcMar>
              <w:top w:type="dxa" w:w="60"/>
              <w:left w:type="dxa" w:w="80"/>
              <w:bottom w:type="dxa" w:w="60"/>
              <w:right w:type="dxa" w:w="80"/>
            </w:tcMar>
          </w:tcPr>
          <w:p>
            <w:r>
              <w:rPr>
                <w:b/>
                <w:bCs/>
                <w:color w:val="FFFFFF"/>
                <w:sz w:val="18"/>
                <w:szCs w:val="18"/>
              </w:rPr>
              <w:t xml:space="preserve">Entity</w:t>
            </w:r>
          </w:p>
        </w:tc>
        <w:tc>
          <w:tcPr>
            <w:tcW w:type="dxa" w:w="1450"/>
            <w:shd w:fill="1F3864" w:val="clear"/>
            <w:tcMar>
              <w:top w:type="dxa" w:w="60"/>
              <w:left w:type="dxa" w:w="80"/>
              <w:bottom w:type="dxa" w:w="60"/>
              <w:right w:type="dxa" w:w="80"/>
            </w:tcMar>
          </w:tcPr>
          <w:p>
            <w:r>
              <w:rPr>
                <w:b/>
                <w:bCs/>
                <w:color w:val="FFFFFF"/>
                <w:sz w:val="18"/>
                <w:szCs w:val="18"/>
              </w:rPr>
              <w:t xml:space="preserve">Grain</w:t>
            </w:r>
          </w:p>
        </w:tc>
        <w:tc>
          <w:tcPr>
            <w:tcW w:type="dxa" w:w="1750"/>
            <w:shd w:fill="1F3864" w:val="clear"/>
            <w:tcMar>
              <w:top w:type="dxa" w:w="60"/>
              <w:left w:type="dxa" w:w="80"/>
              <w:bottom w:type="dxa" w:w="60"/>
              <w:right w:type="dxa" w:w="80"/>
            </w:tcMar>
          </w:tcPr>
          <w:p>
            <w:r>
              <w:rPr>
                <w:b/>
                <w:bCs/>
                <w:color w:val="FFFFFF"/>
                <w:sz w:val="18"/>
                <w:szCs w:val="18"/>
              </w:rPr>
              <w:t xml:space="preserve">Keys</w:t>
            </w:r>
          </w:p>
        </w:tc>
        <w:tc>
          <w:tcPr>
            <w:tcW w:type="dxa" w:w="2050"/>
            <w:shd w:fill="1F3864" w:val="clear"/>
            <w:tcMar>
              <w:top w:type="dxa" w:w="60"/>
              <w:left w:type="dxa" w:w="80"/>
              <w:bottom w:type="dxa" w:w="60"/>
              <w:right w:type="dxa" w:w="80"/>
            </w:tcMar>
          </w:tcPr>
          <w:p>
            <w:r>
              <w:rPr>
                <w:b/>
                <w:bCs/>
                <w:color w:val="FFFFFF"/>
                <w:sz w:val="18"/>
                <w:szCs w:val="18"/>
              </w:rPr>
              <w:t xml:space="preserve">Temporal Treatment</w:t>
            </w:r>
          </w:p>
        </w:tc>
        <w:tc>
          <w:tcPr>
            <w:tcW w:type="dxa" w:w="1550"/>
            <w:shd w:fill="1F3864" w:val="clear"/>
            <w:tcMar>
              <w:top w:type="dxa" w:w="60"/>
              <w:left w:type="dxa" w:w="80"/>
              <w:bottom w:type="dxa" w:w="60"/>
              <w:right w:type="dxa" w:w="80"/>
            </w:tcMar>
          </w:tcPr>
          <w:p>
            <w:r>
              <w:rPr>
                <w:b/>
                <w:bCs/>
                <w:color w:val="FFFFFF"/>
                <w:sz w:val="18"/>
                <w:szCs w:val="18"/>
              </w:rPr>
              <w:t xml:space="preserve">Source Systems</w:t>
            </w:r>
          </w:p>
        </w:tc>
        <w:tc>
          <w:tcPr>
            <w:tcW w:type="dxa" w:w="2150"/>
            <w:shd w:fill="1F3864" w:val="clear"/>
            <w:tcMar>
              <w:top w:type="dxa" w:w="60"/>
              <w:left w:type="dxa" w:w="80"/>
              <w:bottom w:type="dxa" w:w="60"/>
              <w:right w:type="dxa" w:w="80"/>
            </w:tcMar>
          </w:tcPr>
          <w:p>
            <w:r>
              <w:rPr>
                <w:b/>
                <w:bCs/>
                <w:color w:val="FFFFFF"/>
                <w:sz w:val="18"/>
                <w:szCs w:val="18"/>
              </w:rPr>
              <w:t xml:space="preserve">Notes</w:t>
            </w:r>
          </w:p>
        </w:tc>
      </w:tr>
      <w:tr>
        <w:tc>
          <w:tcPr>
            <w:tcW w:type="dxa" w:w="1450"/>
            <w:tcMar>
              <w:top w:type="dxa" w:w="60"/>
              <w:left w:type="dxa" w:w="80"/>
              <w:bottom w:type="dxa" w:w="60"/>
              <w:right w:type="dxa" w:w="80"/>
            </w:tcMar>
          </w:tcPr>
          <w:p>
            <w:r>
              <w:rPr>
                <w:b w:val="false"/>
                <w:bCs w:val="false"/>
                <w:color w:val="000000"/>
                <w:sz w:val="18"/>
                <w:szCs w:val="18"/>
              </w:rPr>
              <w:t xml:space="preserve">Party / Client</w:t>
            </w:r>
          </w:p>
        </w:tc>
        <w:tc>
          <w:tcPr>
            <w:tcW w:type="dxa" w:w="1450"/>
            <w:tcMar>
              <w:top w:type="dxa" w:w="60"/>
              <w:left w:type="dxa" w:w="80"/>
              <w:bottom w:type="dxa" w:w="60"/>
              <w:right w:type="dxa" w:w="80"/>
            </w:tcMar>
          </w:tcPr>
          <w:p>
            <w:r>
              <w:rPr>
                <w:b w:val="false"/>
                <w:bCs w:val="false"/>
                <w:color w:val="000000"/>
                <w:sz w:val="18"/>
                <w:szCs w:val="18"/>
              </w:rPr>
              <w:t xml:space="preserve">One row per legal or natural party</w:t>
            </w:r>
          </w:p>
        </w:tc>
        <w:tc>
          <w:tcPr>
            <w:tcW w:type="dxa" w:w="1750"/>
            <w:tcMar>
              <w:top w:type="dxa" w:w="60"/>
              <w:left w:type="dxa" w:w="80"/>
              <w:bottom w:type="dxa" w:w="60"/>
              <w:right w:type="dxa" w:w="80"/>
            </w:tcMar>
          </w:tcPr>
          <w:p>
            <w:r>
              <w:rPr>
                <w:b w:val="false"/>
                <w:bCs w:val="false"/>
                <w:color w:val="000000"/>
                <w:sz w:val="18"/>
                <w:szCs w:val="18"/>
              </w:rPr>
              <w:t xml:space="preserve">party_sk; xref: (source_system, natural_key)</w:t>
            </w:r>
          </w:p>
        </w:tc>
        <w:tc>
          <w:tcPr>
            <w:tcW w:type="dxa" w:w="2050"/>
            <w:tcMar>
              <w:top w:type="dxa" w:w="60"/>
              <w:left w:type="dxa" w:w="80"/>
              <w:bottom w:type="dxa" w:w="60"/>
              <w:right w:type="dxa" w:w="80"/>
            </w:tcMar>
          </w:tcPr>
          <w:p>
            <w:r>
              <w:rPr>
                <w:b w:val="false"/>
                <w:bCs w:val="false"/>
                <w:color w:val="000000"/>
                <w:sz w:val="18"/>
                <w:szCs w:val="18"/>
              </w:rPr>
              <w:t xml:space="preserve">Bitemporal (effective + asserted)</w:t>
            </w:r>
          </w:p>
        </w:tc>
        <w:tc>
          <w:tcPr>
            <w:tcW w:type="dxa" w:w="1550"/>
            <w:tcMar>
              <w:top w:type="dxa" w:w="60"/>
              <w:left w:type="dxa" w:w="80"/>
              <w:bottom w:type="dxa" w:w="60"/>
              <w:right w:type="dxa" w:w="80"/>
            </w:tcMar>
          </w:tcPr>
          <w:p>
            <w:r>
              <w:rPr>
                <w:b w:val="false"/>
                <w:bCs w:val="false"/>
                <w:color w:val="000000"/>
                <w:sz w:val="18"/>
                <w:szCs w:val="18"/>
              </w:rPr>
              <w:t xml:space="preserve">SWP, AddVantage, CRM</w:t>
            </w:r>
          </w:p>
        </w:tc>
        <w:tc>
          <w:tcPr>
            <w:tcW w:type="dxa" w:w="2150"/>
            <w:tcMar>
              <w:top w:type="dxa" w:w="60"/>
              <w:left w:type="dxa" w:w="80"/>
              <w:bottom w:type="dxa" w:w="60"/>
              <w:right w:type="dxa" w:w="80"/>
            </w:tcMar>
          </w:tcPr>
          <w:p>
            <w:r>
              <w:rPr>
                <w:b w:val="false"/>
                <w:bCs w:val="false"/>
                <w:color w:val="000000"/>
                <w:sz w:val="18"/>
                <w:szCs w:val="18"/>
              </w:rPr>
              <w:t xml:space="preserve">Household / relationship rollups derived, not stored on core</w:t>
            </w:r>
          </w:p>
        </w:tc>
      </w:tr>
      <w:tr>
        <w:tc>
          <w:tcPr>
            <w:tcW w:type="dxa" w:w="1450"/>
            <w:shd w:fill="EDF1F8" w:val="clear"/>
            <w:tcMar>
              <w:top w:type="dxa" w:w="60"/>
              <w:left w:type="dxa" w:w="80"/>
              <w:bottom w:type="dxa" w:w="60"/>
              <w:right w:type="dxa" w:w="80"/>
            </w:tcMar>
          </w:tcPr>
          <w:p>
            <w:r>
              <w:rPr>
                <w:b w:val="false"/>
                <w:bCs w:val="false"/>
                <w:color w:val="000000"/>
                <w:sz w:val="18"/>
                <w:szCs w:val="18"/>
              </w:rPr>
              <w:t xml:space="preserve">Account</w:t>
            </w:r>
          </w:p>
        </w:tc>
        <w:tc>
          <w:tcPr>
            <w:tcW w:type="dxa" w:w="1450"/>
            <w:shd w:fill="EDF1F8" w:val="clear"/>
            <w:tcMar>
              <w:top w:type="dxa" w:w="60"/>
              <w:left w:type="dxa" w:w="80"/>
              <w:bottom w:type="dxa" w:w="60"/>
              <w:right w:type="dxa" w:w="80"/>
            </w:tcMar>
          </w:tcPr>
          <w:p>
            <w:r>
              <w:rPr>
                <w:b w:val="false"/>
                <w:bCs w:val="false"/>
                <w:color w:val="000000"/>
                <w:sz w:val="18"/>
                <w:szCs w:val="18"/>
              </w:rPr>
              <w:t xml:space="preserve">One row per account</w:t>
            </w:r>
          </w:p>
        </w:tc>
        <w:tc>
          <w:tcPr>
            <w:tcW w:type="dxa" w:w="1750"/>
            <w:shd w:fill="EDF1F8" w:val="clear"/>
            <w:tcMar>
              <w:top w:type="dxa" w:w="60"/>
              <w:left w:type="dxa" w:w="80"/>
              <w:bottom w:type="dxa" w:w="60"/>
              <w:right w:type="dxa" w:w="80"/>
            </w:tcMar>
          </w:tcPr>
          <w:p>
            <w:r>
              <w:rPr>
                <w:b w:val="false"/>
                <w:bCs w:val="false"/>
                <w:color w:val="000000"/>
                <w:sz w:val="18"/>
                <w:szCs w:val="18"/>
              </w:rPr>
              <w:t xml:space="preserve">account_sk; xref to SWP + AddVantage account numbers</w:t>
            </w:r>
          </w:p>
        </w:tc>
        <w:tc>
          <w:tcPr>
            <w:tcW w:type="dxa" w:w="2050"/>
            <w:shd w:fill="EDF1F8" w:val="clear"/>
            <w:tcMar>
              <w:top w:type="dxa" w:w="60"/>
              <w:left w:type="dxa" w:w="80"/>
              <w:bottom w:type="dxa" w:w="60"/>
              <w:right w:type="dxa" w:w="80"/>
            </w:tcMar>
          </w:tcPr>
          <w:p>
            <w:r>
              <w:rPr>
                <w:b w:val="false"/>
                <w:bCs w:val="false"/>
                <w:color w:val="000000"/>
                <w:sz w:val="18"/>
                <w:szCs w:val="18"/>
              </w:rPr>
              <w:t xml:space="preserve">Bitemporal</w:t>
            </w:r>
          </w:p>
        </w:tc>
        <w:tc>
          <w:tcPr>
            <w:tcW w:type="dxa" w:w="1550"/>
            <w:shd w:fill="EDF1F8" w:val="clear"/>
            <w:tcMar>
              <w:top w:type="dxa" w:w="60"/>
              <w:left w:type="dxa" w:w="80"/>
              <w:bottom w:type="dxa" w:w="60"/>
              <w:right w:type="dxa" w:w="80"/>
            </w:tcMar>
          </w:tcPr>
          <w:p>
            <w:r>
              <w:rPr>
                <w:b w:val="false"/>
                <w:bCs w:val="false"/>
                <w:color w:val="000000"/>
                <w:sz w:val="18"/>
                <w:szCs w:val="18"/>
              </w:rPr>
              <w:t xml:space="preserve">SWP, AddVantage, STAR</w:t>
            </w:r>
          </w:p>
        </w:tc>
        <w:tc>
          <w:tcPr>
            <w:tcW w:type="dxa" w:w="2150"/>
            <w:shd w:fill="EDF1F8" w:val="clear"/>
            <w:tcMar>
              <w:top w:type="dxa" w:w="60"/>
              <w:left w:type="dxa" w:w="80"/>
              <w:bottom w:type="dxa" w:w="60"/>
              <w:right w:type="dxa" w:w="80"/>
            </w:tcMar>
          </w:tcPr>
          <w:p>
            <w:r>
              <w:rPr>
                <w:b w:val="false"/>
                <w:bCs w:val="false"/>
                <w:color w:val="000000"/>
                <w:sz w:val="18"/>
                <w:szCs w:val="18"/>
              </w:rPr>
              <w:t xml:space="preserve">Account status and mandate attributes in extension table</w:t>
            </w:r>
          </w:p>
        </w:tc>
      </w:tr>
      <w:tr>
        <w:tc>
          <w:tcPr>
            <w:tcW w:type="dxa" w:w="1450"/>
            <w:tcMar>
              <w:top w:type="dxa" w:w="60"/>
              <w:left w:type="dxa" w:w="80"/>
              <w:bottom w:type="dxa" w:w="60"/>
              <w:right w:type="dxa" w:w="80"/>
            </w:tcMar>
          </w:tcPr>
          <w:p>
            <w:r>
              <w:rPr>
                <w:b w:val="false"/>
                <w:bCs w:val="false"/>
                <w:color w:val="000000"/>
                <w:sz w:val="18"/>
                <w:szCs w:val="18"/>
              </w:rPr>
              <w:t xml:space="preserve">Instrument (SMF)</w:t>
            </w:r>
          </w:p>
        </w:tc>
        <w:tc>
          <w:tcPr>
            <w:tcW w:type="dxa" w:w="1450"/>
            <w:tcMar>
              <w:top w:type="dxa" w:w="60"/>
              <w:left w:type="dxa" w:w="80"/>
              <w:bottom w:type="dxa" w:w="60"/>
              <w:right w:type="dxa" w:w="80"/>
            </w:tcMar>
          </w:tcPr>
          <w:p>
            <w:r>
              <w:rPr>
                <w:b w:val="false"/>
                <w:bCs w:val="false"/>
                <w:color w:val="000000"/>
                <w:sz w:val="18"/>
                <w:szCs w:val="18"/>
              </w:rPr>
              <w:t xml:space="preserve">One row per security</w:t>
            </w:r>
          </w:p>
        </w:tc>
        <w:tc>
          <w:tcPr>
            <w:tcW w:type="dxa" w:w="1750"/>
            <w:tcMar>
              <w:top w:type="dxa" w:w="60"/>
              <w:left w:type="dxa" w:w="80"/>
              <w:bottom w:type="dxa" w:w="60"/>
              <w:right w:type="dxa" w:w="80"/>
            </w:tcMar>
          </w:tcPr>
          <w:p>
            <w:r>
              <w:rPr>
                <w:b w:val="false"/>
                <w:bCs w:val="false"/>
                <w:color w:val="000000"/>
                <w:sz w:val="18"/>
                <w:szCs w:val="18"/>
              </w:rPr>
              <w:t xml:space="preserve">instrument_sk; xref: CUSIP / ISIN / SEDOL / vendor IDs</w:t>
            </w:r>
          </w:p>
        </w:tc>
        <w:tc>
          <w:tcPr>
            <w:tcW w:type="dxa" w:w="2050"/>
            <w:tcMar>
              <w:top w:type="dxa" w:w="60"/>
              <w:left w:type="dxa" w:w="80"/>
              <w:bottom w:type="dxa" w:w="60"/>
              <w:right w:type="dxa" w:w="80"/>
            </w:tcMar>
          </w:tcPr>
          <w:p>
            <w:r>
              <w:rPr>
                <w:b w:val="false"/>
                <w:bCs w:val="false"/>
                <w:color w:val="000000"/>
                <w:sz w:val="18"/>
                <w:szCs w:val="18"/>
              </w:rPr>
              <w:t xml:space="preserve">Bitemporal</w:t>
            </w:r>
          </w:p>
        </w:tc>
        <w:tc>
          <w:tcPr>
            <w:tcW w:type="dxa" w:w="1550"/>
            <w:tcMar>
              <w:top w:type="dxa" w:w="60"/>
              <w:left w:type="dxa" w:w="80"/>
              <w:bottom w:type="dxa" w:w="60"/>
              <w:right w:type="dxa" w:w="80"/>
            </w:tcMar>
          </w:tcPr>
          <w:p>
            <w:r>
              <w:rPr>
                <w:b w:val="false"/>
                <w:bCs w:val="false"/>
                <w:color w:val="000000"/>
                <w:sz w:val="18"/>
                <w:szCs w:val="18"/>
              </w:rPr>
              <w:t xml:space="preserve">SMF golden source (SWP + vendors)</w:t>
            </w:r>
          </w:p>
        </w:tc>
        <w:tc>
          <w:tcPr>
            <w:tcW w:type="dxa" w:w="2150"/>
            <w:tcMar>
              <w:top w:type="dxa" w:w="60"/>
              <w:left w:type="dxa" w:w="80"/>
              <w:bottom w:type="dxa" w:w="60"/>
              <w:right w:type="dxa" w:w="80"/>
            </w:tcMar>
          </w:tcPr>
          <w:p>
            <w:r>
              <w:rPr>
                <w:b w:val="false"/>
                <w:bCs w:val="false"/>
                <w:color w:val="000000"/>
                <w:sz w:val="18"/>
                <w:szCs w:val="18"/>
              </w:rPr>
              <w:t xml:space="preserve">Canonical contract for the SMF programme; classification via hierarchy tables</w:t>
            </w:r>
          </w:p>
        </w:tc>
      </w:tr>
      <w:tr>
        <w:tc>
          <w:tcPr>
            <w:tcW w:type="dxa" w:w="1450"/>
            <w:shd w:fill="EDF1F8" w:val="clear"/>
            <w:tcMar>
              <w:top w:type="dxa" w:w="60"/>
              <w:left w:type="dxa" w:w="80"/>
              <w:bottom w:type="dxa" w:w="60"/>
              <w:right w:type="dxa" w:w="80"/>
            </w:tcMar>
          </w:tcPr>
          <w:p>
            <w:r>
              <w:rPr>
                <w:b w:val="false"/>
                <w:bCs w:val="false"/>
                <w:color w:val="000000"/>
                <w:sz w:val="18"/>
                <w:szCs w:val="18"/>
              </w:rPr>
              <w:t xml:space="preserve">Transaction</w:t>
            </w:r>
          </w:p>
        </w:tc>
        <w:tc>
          <w:tcPr>
            <w:tcW w:type="dxa" w:w="1450"/>
            <w:shd w:fill="EDF1F8" w:val="clear"/>
            <w:tcMar>
              <w:top w:type="dxa" w:w="60"/>
              <w:left w:type="dxa" w:w="80"/>
              <w:bottom w:type="dxa" w:w="60"/>
              <w:right w:type="dxa" w:w="80"/>
            </w:tcMar>
          </w:tcPr>
          <w:p>
            <w:r>
              <w:rPr>
                <w:b w:val="false"/>
                <w:bCs w:val="false"/>
                <w:color w:val="000000"/>
                <w:sz w:val="18"/>
                <w:szCs w:val="18"/>
              </w:rPr>
              <w:t xml:space="preserve">One row per economic event (event-sourced)</w:t>
            </w:r>
          </w:p>
        </w:tc>
        <w:tc>
          <w:tcPr>
            <w:tcW w:type="dxa" w:w="1750"/>
            <w:shd w:fill="EDF1F8" w:val="clear"/>
            <w:tcMar>
              <w:top w:type="dxa" w:w="60"/>
              <w:left w:type="dxa" w:w="80"/>
              <w:bottom w:type="dxa" w:w="60"/>
              <w:right w:type="dxa" w:w="80"/>
            </w:tcMar>
          </w:tcPr>
          <w:p>
            <w:r>
              <w:rPr>
                <w:b w:val="false"/>
                <w:bCs w:val="false"/>
                <w:color w:val="000000"/>
                <w:sz w:val="18"/>
                <w:szCs w:val="18"/>
              </w:rPr>
              <w:t xml:space="preserve">txn_sk; source event ID in xref</w:t>
            </w:r>
          </w:p>
        </w:tc>
        <w:tc>
          <w:tcPr>
            <w:tcW w:type="dxa" w:w="2050"/>
            <w:shd w:fill="EDF1F8" w:val="clear"/>
            <w:tcMar>
              <w:top w:type="dxa" w:w="60"/>
              <w:left w:type="dxa" w:w="80"/>
              <w:bottom w:type="dxa" w:w="60"/>
              <w:right w:type="dxa" w:w="80"/>
            </w:tcMar>
          </w:tcPr>
          <w:p>
            <w:r>
              <w:rPr>
                <w:b w:val="false"/>
                <w:bCs w:val="false"/>
                <w:color w:val="000000"/>
                <w:sz w:val="18"/>
                <w:szCs w:val="18"/>
              </w:rPr>
              <w:t xml:space="preserve">Bitemporal; insert-only with logical closure</w:t>
            </w:r>
          </w:p>
        </w:tc>
        <w:tc>
          <w:tcPr>
            <w:tcW w:type="dxa" w:w="1550"/>
            <w:shd w:fill="EDF1F8" w:val="clear"/>
            <w:tcMar>
              <w:top w:type="dxa" w:w="60"/>
              <w:left w:type="dxa" w:w="80"/>
              <w:bottom w:type="dxa" w:w="60"/>
              <w:right w:type="dxa" w:w="80"/>
            </w:tcMar>
          </w:tcPr>
          <w:p>
            <w:r>
              <w:rPr>
                <w:b w:val="false"/>
                <w:bCs w:val="false"/>
                <w:color w:val="000000"/>
                <w:sz w:val="18"/>
                <w:szCs w:val="18"/>
              </w:rPr>
              <w:t xml:space="preserve">SWP, AddVantage (dual-run)</w:t>
            </w:r>
          </w:p>
        </w:tc>
        <w:tc>
          <w:tcPr>
            <w:tcW w:type="dxa" w:w="2150"/>
            <w:shd w:fill="EDF1F8" w:val="clear"/>
            <w:tcMar>
              <w:top w:type="dxa" w:w="60"/>
              <w:left w:type="dxa" w:w="80"/>
              <w:bottom w:type="dxa" w:w="60"/>
              <w:right w:type="dxa" w:w="80"/>
            </w:tcMar>
          </w:tcPr>
          <w:p>
            <w:r>
              <w:rPr>
                <w:b w:val="false"/>
                <w:bCs w:val="false"/>
                <w:color w:val="000000"/>
                <w:sz w:val="18"/>
                <w:szCs w:val="18"/>
              </w:rPr>
              <w:t xml:space="preserve">Positions and balances derivable; never balance-mutation</w:t>
            </w:r>
          </w:p>
        </w:tc>
      </w:tr>
      <w:tr>
        <w:tc>
          <w:tcPr>
            <w:tcW w:type="dxa" w:w="1450"/>
            <w:tcMar>
              <w:top w:type="dxa" w:w="60"/>
              <w:left w:type="dxa" w:w="80"/>
              <w:bottom w:type="dxa" w:w="60"/>
              <w:right w:type="dxa" w:w="80"/>
            </w:tcMar>
          </w:tcPr>
          <w:p>
            <w:r>
              <w:rPr>
                <w:b w:val="false"/>
                <w:bCs w:val="false"/>
                <w:color w:val="000000"/>
                <w:sz w:val="18"/>
                <w:szCs w:val="18"/>
              </w:rPr>
              <w:t xml:space="preserve">Corporate Action</w:t>
            </w:r>
          </w:p>
        </w:tc>
        <w:tc>
          <w:tcPr>
            <w:tcW w:type="dxa" w:w="1450"/>
            <w:tcMar>
              <w:top w:type="dxa" w:w="60"/>
              <w:left w:type="dxa" w:w="80"/>
              <w:bottom w:type="dxa" w:w="60"/>
              <w:right w:type="dxa" w:w="80"/>
            </w:tcMar>
          </w:tcPr>
          <w:p>
            <w:r>
              <w:rPr>
                <w:b w:val="false"/>
                <w:bCs w:val="false"/>
                <w:color w:val="000000"/>
                <w:sz w:val="18"/>
                <w:szCs w:val="18"/>
              </w:rPr>
              <w:t xml:space="preserve">One row per CA event; children generate Transactions</w:t>
            </w:r>
          </w:p>
        </w:tc>
        <w:tc>
          <w:tcPr>
            <w:tcW w:type="dxa" w:w="1750"/>
            <w:tcMar>
              <w:top w:type="dxa" w:w="60"/>
              <w:left w:type="dxa" w:w="80"/>
              <w:bottom w:type="dxa" w:w="60"/>
              <w:right w:type="dxa" w:w="80"/>
            </w:tcMar>
          </w:tcPr>
          <w:p>
            <w:r>
              <w:rPr>
                <w:b w:val="false"/>
                <w:bCs w:val="false"/>
                <w:color w:val="000000"/>
                <w:sz w:val="18"/>
                <w:szCs w:val="18"/>
              </w:rPr>
              <w:t xml:space="preserve">ca_event_sk</w:t>
            </w:r>
          </w:p>
        </w:tc>
        <w:tc>
          <w:tcPr>
            <w:tcW w:type="dxa" w:w="2050"/>
            <w:tcMar>
              <w:top w:type="dxa" w:w="60"/>
              <w:left w:type="dxa" w:w="80"/>
              <w:bottom w:type="dxa" w:w="60"/>
              <w:right w:type="dxa" w:w="80"/>
            </w:tcMar>
          </w:tcPr>
          <w:p>
            <w:r>
              <w:rPr>
                <w:b w:val="false"/>
                <w:bCs w:val="false"/>
                <w:color w:val="000000"/>
                <w:sz w:val="18"/>
                <w:szCs w:val="18"/>
              </w:rPr>
              <w:t xml:space="preserve">Bitemporal</w:t>
            </w:r>
          </w:p>
        </w:tc>
        <w:tc>
          <w:tcPr>
            <w:tcW w:type="dxa" w:w="1550"/>
            <w:tcMar>
              <w:top w:type="dxa" w:w="60"/>
              <w:left w:type="dxa" w:w="80"/>
              <w:bottom w:type="dxa" w:w="60"/>
              <w:right w:type="dxa" w:w="80"/>
            </w:tcMar>
          </w:tcPr>
          <w:p>
            <w:r>
              <w:rPr>
                <w:b w:val="false"/>
                <w:bCs w:val="false"/>
                <w:color w:val="000000"/>
                <w:sz w:val="18"/>
                <w:szCs w:val="18"/>
              </w:rPr>
              <w:t xml:space="preserve">SWP, vendor feeds</w:t>
            </w:r>
          </w:p>
        </w:tc>
        <w:tc>
          <w:tcPr>
            <w:tcW w:type="dxa" w:w="2150"/>
            <w:tcMar>
              <w:top w:type="dxa" w:w="60"/>
              <w:left w:type="dxa" w:w="80"/>
              <w:bottom w:type="dxa" w:w="60"/>
              <w:right w:type="dxa" w:w="80"/>
            </w:tcMar>
          </w:tcPr>
          <w:p>
            <w:r>
              <w:rPr>
                <w:b w:val="false"/>
                <w:bCs w:val="false"/>
                <w:color w:val="000000"/>
                <w:sz w:val="18"/>
                <w:szCs w:val="18"/>
              </w:rPr>
              <w:t xml:space="preserve">First-class events preserving the causal chain for audit</w:t>
            </w:r>
          </w:p>
        </w:tc>
      </w:tr>
      <w:tr>
        <w:tc>
          <w:tcPr>
            <w:tcW w:type="dxa" w:w="1450"/>
            <w:shd w:fill="EDF1F8" w:val="clear"/>
            <w:tcMar>
              <w:top w:type="dxa" w:w="60"/>
              <w:left w:type="dxa" w:w="80"/>
              <w:bottom w:type="dxa" w:w="60"/>
              <w:right w:type="dxa" w:w="80"/>
            </w:tcMar>
          </w:tcPr>
          <w:p>
            <w:r>
              <w:rPr>
                <w:b w:val="false"/>
                <w:bCs w:val="false"/>
                <w:color w:val="000000"/>
                <w:sz w:val="18"/>
                <w:szCs w:val="18"/>
              </w:rPr>
              <w:t xml:space="preserve">Position</w:t>
            </w:r>
          </w:p>
        </w:tc>
        <w:tc>
          <w:tcPr>
            <w:tcW w:type="dxa" w:w="1450"/>
            <w:shd w:fill="EDF1F8" w:val="clear"/>
            <w:tcMar>
              <w:top w:type="dxa" w:w="60"/>
              <w:left w:type="dxa" w:w="80"/>
              <w:bottom w:type="dxa" w:w="60"/>
              <w:right w:type="dxa" w:w="80"/>
            </w:tcMar>
          </w:tcPr>
          <w:p>
            <w:r>
              <w:rPr>
                <w:b w:val="false"/>
                <w:bCs w:val="false"/>
                <w:color w:val="000000"/>
                <w:sz w:val="18"/>
                <w:szCs w:val="18"/>
              </w:rPr>
              <w:t xml:space="preserve">Account x instrument x as-of date (snapshot)</w:t>
            </w:r>
          </w:p>
        </w:tc>
        <w:tc>
          <w:tcPr>
            <w:tcW w:type="dxa" w:w="1750"/>
            <w:shd w:fill="EDF1F8" w:val="clear"/>
            <w:tcMar>
              <w:top w:type="dxa" w:w="60"/>
              <w:left w:type="dxa" w:w="80"/>
              <w:bottom w:type="dxa" w:w="60"/>
              <w:right w:type="dxa" w:w="80"/>
            </w:tcMar>
          </w:tcPr>
          <w:p>
            <w:r>
              <w:rPr>
                <w:b w:val="false"/>
                <w:bCs w:val="false"/>
                <w:color w:val="000000"/>
                <w:sz w:val="18"/>
                <w:szCs w:val="18"/>
              </w:rPr>
              <w:t xml:space="preserve">account_sk, instrument_sk, asof_date</w:t>
            </w:r>
          </w:p>
        </w:tc>
        <w:tc>
          <w:tcPr>
            <w:tcW w:type="dxa" w:w="2050"/>
            <w:shd w:fill="EDF1F8" w:val="clear"/>
            <w:tcMar>
              <w:top w:type="dxa" w:w="60"/>
              <w:left w:type="dxa" w:w="80"/>
              <w:bottom w:type="dxa" w:w="60"/>
              <w:right w:type="dxa" w:w="80"/>
            </w:tcMar>
          </w:tcPr>
          <w:p>
            <w:r>
              <w:rPr>
                <w:b w:val="false"/>
                <w:bCs w:val="false"/>
                <w:color w:val="000000"/>
                <w:sz w:val="18"/>
                <w:szCs w:val="18"/>
              </w:rPr>
              <w:t xml:space="preserve">Snapshot; recomputed per dirty partition</w:t>
            </w:r>
          </w:p>
        </w:tc>
        <w:tc>
          <w:tcPr>
            <w:tcW w:type="dxa" w:w="1550"/>
            <w:shd w:fill="EDF1F8" w:val="clear"/>
            <w:tcMar>
              <w:top w:type="dxa" w:w="60"/>
              <w:left w:type="dxa" w:w="80"/>
              <w:bottom w:type="dxa" w:w="60"/>
              <w:right w:type="dxa" w:w="80"/>
            </w:tcMar>
          </w:tcPr>
          <w:p>
            <w:r>
              <w:rPr>
                <w:b w:val="false"/>
                <w:bCs w:val="false"/>
                <w:color w:val="000000"/>
                <w:sz w:val="18"/>
                <w:szCs w:val="18"/>
              </w:rPr>
              <w:t xml:space="preserve">Derived from Transaction</w:t>
            </w:r>
          </w:p>
        </w:tc>
        <w:tc>
          <w:tcPr>
            <w:tcW w:type="dxa" w:w="2150"/>
            <w:shd w:fill="EDF1F8" w:val="clear"/>
            <w:tcMar>
              <w:top w:type="dxa" w:w="60"/>
              <w:left w:type="dxa" w:w="80"/>
              <w:bottom w:type="dxa" w:w="60"/>
              <w:right w:type="dxa" w:w="80"/>
            </w:tcMar>
          </w:tcPr>
          <w:p>
            <w:r>
              <w:rPr>
                <w:b w:val="false"/>
                <w:bCs w:val="false"/>
                <w:color w:val="000000"/>
                <w:sz w:val="18"/>
                <w:szCs w:val="18"/>
              </w:rPr>
              <w:t xml:space="preserve">Materialized daily serving layer; event stream is audit truth</w:t>
            </w:r>
          </w:p>
        </w:tc>
      </w:tr>
      <w:tr>
        <w:tc>
          <w:tcPr>
            <w:tcW w:type="dxa" w:w="1450"/>
            <w:tcMar>
              <w:top w:type="dxa" w:w="60"/>
              <w:left w:type="dxa" w:w="80"/>
              <w:bottom w:type="dxa" w:w="60"/>
              <w:right w:type="dxa" w:w="80"/>
            </w:tcMar>
          </w:tcPr>
          <w:p>
            <w:r>
              <w:rPr>
                <w:b w:val="false"/>
                <w:bCs w:val="false"/>
                <w:color w:val="000000"/>
                <w:sz w:val="18"/>
                <w:szCs w:val="18"/>
              </w:rPr>
              <w:t xml:space="preserve">Tax Lot</w:t>
            </w:r>
          </w:p>
        </w:tc>
        <w:tc>
          <w:tcPr>
            <w:tcW w:type="dxa" w:w="1450"/>
            <w:tcMar>
              <w:top w:type="dxa" w:w="60"/>
              <w:left w:type="dxa" w:w="80"/>
              <w:bottom w:type="dxa" w:w="60"/>
              <w:right w:type="dxa" w:w="80"/>
            </w:tcMar>
          </w:tcPr>
          <w:p>
            <w:r>
              <w:rPr>
                <w:b w:val="false"/>
                <w:bCs w:val="false"/>
                <w:color w:val="000000"/>
                <w:sz w:val="18"/>
                <w:szCs w:val="18"/>
              </w:rPr>
              <w:t xml:space="preserve">Open lot per account x instrument</w:t>
            </w:r>
          </w:p>
        </w:tc>
        <w:tc>
          <w:tcPr>
            <w:tcW w:type="dxa" w:w="1750"/>
            <w:tcMar>
              <w:top w:type="dxa" w:w="60"/>
              <w:left w:type="dxa" w:w="80"/>
              <w:bottom w:type="dxa" w:w="60"/>
              <w:right w:type="dxa" w:w="80"/>
            </w:tcMar>
          </w:tcPr>
          <w:p>
            <w:r>
              <w:rPr>
                <w:b w:val="false"/>
                <w:bCs w:val="false"/>
                <w:color w:val="000000"/>
                <w:sz w:val="18"/>
                <w:szCs w:val="18"/>
              </w:rPr>
              <w:t xml:space="preserve">lot_sk</w:t>
            </w:r>
          </w:p>
        </w:tc>
        <w:tc>
          <w:tcPr>
            <w:tcW w:type="dxa" w:w="2050"/>
            <w:tcMar>
              <w:top w:type="dxa" w:w="60"/>
              <w:left w:type="dxa" w:w="80"/>
              <w:bottom w:type="dxa" w:w="60"/>
              <w:right w:type="dxa" w:w="80"/>
            </w:tcMar>
          </w:tcPr>
          <w:p>
            <w:r>
              <w:rPr>
                <w:b w:val="false"/>
                <w:bCs w:val="false"/>
                <w:color w:val="000000"/>
                <w:sz w:val="18"/>
                <w:szCs w:val="18"/>
              </w:rPr>
              <w:t xml:space="preserve">Bitemporal</w:t>
            </w:r>
          </w:p>
        </w:tc>
        <w:tc>
          <w:tcPr>
            <w:tcW w:type="dxa" w:w="1550"/>
            <w:tcMar>
              <w:top w:type="dxa" w:w="60"/>
              <w:left w:type="dxa" w:w="80"/>
              <w:bottom w:type="dxa" w:w="60"/>
              <w:right w:type="dxa" w:w="80"/>
            </w:tcMar>
          </w:tcPr>
          <w:p>
            <w:r>
              <w:rPr>
                <w:b w:val="false"/>
                <w:bCs w:val="false"/>
                <w:color w:val="000000"/>
                <w:sz w:val="18"/>
                <w:szCs w:val="18"/>
              </w:rPr>
              <w:t xml:space="preserve">SWP, AddVantage</w:t>
            </w:r>
          </w:p>
        </w:tc>
        <w:tc>
          <w:tcPr>
            <w:tcW w:type="dxa" w:w="2150"/>
            <w:tcMar>
              <w:top w:type="dxa" w:w="60"/>
              <w:left w:type="dxa" w:w="80"/>
              <w:bottom w:type="dxa" w:w="60"/>
              <w:right w:type="dxa" w:w="80"/>
            </w:tcMar>
          </w:tcPr>
          <w:p>
            <w:r>
              <w:rPr>
                <w:b w:val="false"/>
                <w:bCs w:val="false"/>
                <w:color w:val="000000"/>
                <w:sz w:val="18"/>
                <w:szCs w:val="18"/>
              </w:rPr>
              <w:t xml:space="preserve">Required for ABOR parity and cost-basis reconciliation</w:t>
            </w:r>
          </w:p>
        </w:tc>
      </w:tr>
      <w:tr>
        <w:tc>
          <w:tcPr>
            <w:tcW w:type="dxa" w:w="1450"/>
            <w:shd w:fill="EDF1F8" w:val="clear"/>
            <w:tcMar>
              <w:top w:type="dxa" w:w="60"/>
              <w:left w:type="dxa" w:w="80"/>
              <w:bottom w:type="dxa" w:w="60"/>
              <w:right w:type="dxa" w:w="80"/>
            </w:tcMar>
          </w:tcPr>
          <w:p>
            <w:r>
              <w:rPr>
                <w:b w:val="false"/>
                <w:bCs w:val="false"/>
                <w:color w:val="000000"/>
                <w:sz w:val="18"/>
                <w:szCs w:val="18"/>
              </w:rPr>
              <w:t xml:space="preserve">Cash Balance</w:t>
            </w:r>
          </w:p>
        </w:tc>
        <w:tc>
          <w:tcPr>
            <w:tcW w:type="dxa" w:w="1450"/>
            <w:shd w:fill="EDF1F8" w:val="clear"/>
            <w:tcMar>
              <w:top w:type="dxa" w:w="60"/>
              <w:left w:type="dxa" w:w="80"/>
              <w:bottom w:type="dxa" w:w="60"/>
              <w:right w:type="dxa" w:w="80"/>
            </w:tcMar>
          </w:tcPr>
          <w:p>
            <w:r>
              <w:rPr>
                <w:b w:val="false"/>
                <w:bCs w:val="false"/>
                <w:color w:val="000000"/>
                <w:sz w:val="18"/>
                <w:szCs w:val="18"/>
              </w:rPr>
              <w:t xml:space="preserve">Account x currency x as-of date</w:t>
            </w:r>
          </w:p>
        </w:tc>
        <w:tc>
          <w:tcPr>
            <w:tcW w:type="dxa" w:w="1750"/>
            <w:shd w:fill="EDF1F8" w:val="clear"/>
            <w:tcMar>
              <w:top w:type="dxa" w:w="60"/>
              <w:left w:type="dxa" w:w="80"/>
              <w:bottom w:type="dxa" w:w="60"/>
              <w:right w:type="dxa" w:w="80"/>
            </w:tcMar>
          </w:tcPr>
          <w:p>
            <w:r>
              <w:rPr>
                <w:b w:val="false"/>
                <w:bCs w:val="false"/>
                <w:color w:val="000000"/>
                <w:sz w:val="18"/>
                <w:szCs w:val="18"/>
              </w:rPr>
              <w:t xml:space="preserve">account_sk, ccy, asof_date</w:t>
            </w:r>
          </w:p>
        </w:tc>
        <w:tc>
          <w:tcPr>
            <w:tcW w:type="dxa" w:w="2050"/>
            <w:shd w:fill="EDF1F8" w:val="clear"/>
            <w:tcMar>
              <w:top w:type="dxa" w:w="60"/>
              <w:left w:type="dxa" w:w="80"/>
              <w:bottom w:type="dxa" w:w="60"/>
              <w:right w:type="dxa" w:w="80"/>
            </w:tcMar>
          </w:tcPr>
          <w:p>
            <w:r>
              <w:rPr>
                <w:b w:val="false"/>
                <w:bCs w:val="false"/>
                <w:color w:val="000000"/>
                <w:sz w:val="18"/>
                <w:szCs w:val="18"/>
              </w:rPr>
              <w:t xml:space="preserve">Snapshot</w:t>
            </w:r>
          </w:p>
        </w:tc>
        <w:tc>
          <w:tcPr>
            <w:tcW w:type="dxa" w:w="1550"/>
            <w:shd w:fill="EDF1F8" w:val="clear"/>
            <w:tcMar>
              <w:top w:type="dxa" w:w="60"/>
              <w:left w:type="dxa" w:w="80"/>
              <w:bottom w:type="dxa" w:w="60"/>
              <w:right w:type="dxa" w:w="80"/>
            </w:tcMar>
          </w:tcPr>
          <w:p>
            <w:r>
              <w:rPr>
                <w:b w:val="false"/>
                <w:bCs w:val="false"/>
                <w:color w:val="000000"/>
                <w:sz w:val="18"/>
                <w:szCs w:val="18"/>
              </w:rPr>
              <w:t xml:space="preserve">Derived from Transaction</w:t>
            </w:r>
          </w:p>
        </w:tc>
        <w:tc>
          <w:tcPr>
            <w:tcW w:type="dxa" w:w="2150"/>
            <w:shd w:fill="EDF1F8" w:val="clear"/>
            <w:tcMar>
              <w:top w:type="dxa" w:w="60"/>
              <w:left w:type="dxa" w:w="80"/>
              <w:bottom w:type="dxa" w:w="60"/>
              <w:right w:type="dxa" w:w="80"/>
            </w:tcMar>
          </w:tcPr>
          <w:p>
            <w:r>
              <w:rPr>
                <w:b w:val="false"/>
                <w:bCs w:val="false"/>
                <w:color w:val="000000"/>
                <w:sz w:val="18"/>
                <w:szCs w:val="18"/>
              </w:rPr>
              <w:t xml:space="preserve">Same recompute pattern as Position</w:t>
            </w:r>
          </w:p>
        </w:tc>
      </w:tr>
      <w:tr>
        <w:tc>
          <w:tcPr>
            <w:tcW w:type="dxa" w:w="1450"/>
            <w:tcMar>
              <w:top w:type="dxa" w:w="60"/>
              <w:left w:type="dxa" w:w="80"/>
              <w:bottom w:type="dxa" w:w="60"/>
              <w:right w:type="dxa" w:w="80"/>
            </w:tcMar>
          </w:tcPr>
          <w:p>
            <w:r>
              <w:rPr>
                <w:b w:val="false"/>
                <w:bCs w:val="false"/>
                <w:color w:val="000000"/>
                <w:sz w:val="18"/>
                <w:szCs w:val="18"/>
              </w:rPr>
              <w:t xml:space="preserve">Valuation</w:t>
            </w:r>
          </w:p>
        </w:tc>
        <w:tc>
          <w:tcPr>
            <w:tcW w:type="dxa" w:w="1450"/>
            <w:tcMar>
              <w:top w:type="dxa" w:w="60"/>
              <w:left w:type="dxa" w:w="80"/>
              <w:bottom w:type="dxa" w:w="60"/>
              <w:right w:type="dxa" w:w="80"/>
            </w:tcMar>
          </w:tcPr>
          <w:p>
            <w:r>
              <w:rPr>
                <w:b w:val="false"/>
                <w:bCs w:val="false"/>
                <w:color w:val="000000"/>
                <w:sz w:val="18"/>
                <w:szCs w:val="18"/>
              </w:rPr>
              <w:t xml:space="preserve">Position x valuation date x basis</w:t>
            </w:r>
          </w:p>
        </w:tc>
        <w:tc>
          <w:tcPr>
            <w:tcW w:type="dxa" w:w="1750"/>
            <w:tcMar>
              <w:top w:type="dxa" w:w="60"/>
              <w:left w:type="dxa" w:w="80"/>
              <w:bottom w:type="dxa" w:w="60"/>
              <w:right w:type="dxa" w:w="80"/>
            </w:tcMar>
          </w:tcPr>
          <w:p>
            <w:r>
              <w:rPr>
                <w:b w:val="false"/>
                <w:bCs w:val="false"/>
                <w:color w:val="000000"/>
                <w:sz w:val="18"/>
                <w:szCs w:val="18"/>
              </w:rPr>
              <w:t xml:space="preserve">val_sk</w:t>
            </w:r>
          </w:p>
        </w:tc>
        <w:tc>
          <w:tcPr>
            <w:tcW w:type="dxa" w:w="2050"/>
            <w:tcMar>
              <w:top w:type="dxa" w:w="60"/>
              <w:left w:type="dxa" w:w="80"/>
              <w:bottom w:type="dxa" w:w="60"/>
              <w:right w:type="dxa" w:w="80"/>
            </w:tcMar>
          </w:tcPr>
          <w:p>
            <w:r>
              <w:rPr>
                <w:b w:val="false"/>
                <w:bCs w:val="false"/>
                <w:color w:val="000000"/>
                <w:sz w:val="18"/>
                <w:szCs w:val="18"/>
              </w:rPr>
              <w:t xml:space="preserve">Bitemporal</w:t>
            </w:r>
          </w:p>
        </w:tc>
        <w:tc>
          <w:tcPr>
            <w:tcW w:type="dxa" w:w="1550"/>
            <w:tcMar>
              <w:top w:type="dxa" w:w="60"/>
              <w:left w:type="dxa" w:w="80"/>
              <w:bottom w:type="dxa" w:w="60"/>
              <w:right w:type="dxa" w:w="80"/>
            </w:tcMar>
          </w:tcPr>
          <w:p>
            <w:r>
              <w:rPr>
                <w:b w:val="false"/>
                <w:bCs w:val="false"/>
                <w:color w:val="000000"/>
                <w:sz w:val="18"/>
                <w:szCs w:val="18"/>
              </w:rPr>
              <w:t xml:space="preserve">SWP pricing, vendor prices</w:t>
            </w:r>
          </w:p>
        </w:tc>
        <w:tc>
          <w:tcPr>
            <w:tcW w:type="dxa" w:w="2150"/>
            <w:tcMar>
              <w:top w:type="dxa" w:w="60"/>
              <w:left w:type="dxa" w:w="80"/>
              <w:bottom w:type="dxa" w:w="60"/>
              <w:right w:type="dxa" w:w="80"/>
            </w:tcMar>
          </w:tcPr>
          <w:p>
            <w:r>
              <w:rPr>
                <w:b w:val="false"/>
                <w:bCs w:val="false"/>
                <w:color w:val="000000"/>
                <w:sz w:val="18"/>
                <w:szCs w:val="18"/>
              </w:rPr>
              <w:t xml:space="preserve">FX / base-currency enrichment applied Bronze-to-Silver</w:t>
            </w:r>
          </w:p>
        </w:tc>
      </w:tr>
      <w:tr>
        <w:tc>
          <w:tcPr>
            <w:tcW w:type="dxa" w:w="1450"/>
            <w:shd w:fill="EDF1F8" w:val="clear"/>
            <w:tcMar>
              <w:top w:type="dxa" w:w="60"/>
              <w:left w:type="dxa" w:w="80"/>
              <w:bottom w:type="dxa" w:w="60"/>
              <w:right w:type="dxa" w:w="80"/>
            </w:tcMar>
          </w:tcPr>
          <w:p>
            <w:r>
              <w:rPr>
                <w:b w:val="false"/>
                <w:bCs w:val="false"/>
                <w:color w:val="000000"/>
                <w:sz w:val="18"/>
                <w:szCs w:val="18"/>
              </w:rPr>
              <w:t xml:space="preserve">Fee / Billing</w:t>
            </w:r>
          </w:p>
        </w:tc>
        <w:tc>
          <w:tcPr>
            <w:tcW w:type="dxa" w:w="1450"/>
            <w:shd w:fill="EDF1F8" w:val="clear"/>
            <w:tcMar>
              <w:top w:type="dxa" w:w="60"/>
              <w:left w:type="dxa" w:w="80"/>
              <w:bottom w:type="dxa" w:w="60"/>
              <w:right w:type="dxa" w:w="80"/>
            </w:tcMar>
          </w:tcPr>
          <w:p>
            <w:r>
              <w:rPr>
                <w:b w:val="false"/>
                <w:bCs w:val="false"/>
                <w:color w:val="000000"/>
                <w:sz w:val="18"/>
                <w:szCs w:val="18"/>
              </w:rPr>
              <w:t xml:space="preserve">Fee accrual or charge event</w:t>
            </w:r>
          </w:p>
        </w:tc>
        <w:tc>
          <w:tcPr>
            <w:tcW w:type="dxa" w:w="1750"/>
            <w:shd w:fill="EDF1F8" w:val="clear"/>
            <w:tcMar>
              <w:top w:type="dxa" w:w="60"/>
              <w:left w:type="dxa" w:w="80"/>
              <w:bottom w:type="dxa" w:w="60"/>
              <w:right w:type="dxa" w:w="80"/>
            </w:tcMar>
          </w:tcPr>
          <w:p>
            <w:r>
              <w:rPr>
                <w:b w:val="false"/>
                <w:bCs w:val="false"/>
                <w:color w:val="000000"/>
                <w:sz w:val="18"/>
                <w:szCs w:val="18"/>
              </w:rPr>
              <w:t xml:space="preserve">fee_sk</w:t>
            </w:r>
          </w:p>
        </w:tc>
        <w:tc>
          <w:tcPr>
            <w:tcW w:type="dxa" w:w="2050"/>
            <w:shd w:fill="EDF1F8" w:val="clear"/>
            <w:tcMar>
              <w:top w:type="dxa" w:w="60"/>
              <w:left w:type="dxa" w:w="80"/>
              <w:bottom w:type="dxa" w:w="60"/>
              <w:right w:type="dxa" w:w="80"/>
            </w:tcMar>
          </w:tcPr>
          <w:p>
            <w:r>
              <w:rPr>
                <w:b w:val="false"/>
                <w:bCs w:val="false"/>
                <w:color w:val="000000"/>
                <w:sz w:val="18"/>
                <w:szCs w:val="18"/>
              </w:rPr>
              <w:t xml:space="preserve">Bitemporal</w:t>
            </w:r>
          </w:p>
        </w:tc>
        <w:tc>
          <w:tcPr>
            <w:tcW w:type="dxa" w:w="1550"/>
            <w:shd w:fill="EDF1F8" w:val="clear"/>
            <w:tcMar>
              <w:top w:type="dxa" w:w="60"/>
              <w:left w:type="dxa" w:w="80"/>
              <w:bottom w:type="dxa" w:w="60"/>
              <w:right w:type="dxa" w:w="80"/>
            </w:tcMar>
          </w:tcPr>
          <w:p>
            <w:r>
              <w:rPr>
                <w:b w:val="false"/>
                <w:bCs w:val="false"/>
                <w:color w:val="000000"/>
                <w:sz w:val="18"/>
                <w:szCs w:val="18"/>
              </w:rPr>
              <w:t xml:space="preserve">SWP billing</w:t>
            </w:r>
          </w:p>
        </w:tc>
        <w:tc>
          <w:tcPr>
            <w:tcW w:type="dxa" w:w="2150"/>
            <w:shd w:fill="EDF1F8" w:val="clear"/>
            <w:tcMar>
              <w:top w:type="dxa" w:w="60"/>
              <w:left w:type="dxa" w:w="80"/>
              <w:bottom w:type="dxa" w:w="60"/>
              <w:right w:type="dxa" w:w="80"/>
            </w:tcMar>
          </w:tcPr>
          <w:p>
            <w:r>
              <w:rPr>
                <w:b w:val="false"/>
                <w:bCs w:val="false"/>
                <w:color w:val="000000"/>
                <w:sz w:val="18"/>
                <w:szCs w:val="18"/>
              </w:rPr>
              <w:t xml:space="preserve">Event-sourced like Transaction</w:t>
            </w:r>
          </w:p>
        </w:tc>
      </w:tr>
      <w:tr>
        <w:tc>
          <w:tcPr>
            <w:tcW w:type="dxa" w:w="1450"/>
            <w:tcMar>
              <w:top w:type="dxa" w:w="60"/>
              <w:left w:type="dxa" w:w="80"/>
              <w:bottom w:type="dxa" w:w="60"/>
              <w:right w:type="dxa" w:w="80"/>
            </w:tcMar>
          </w:tcPr>
          <w:p>
            <w:r>
              <w:rPr>
                <w:b w:val="false"/>
                <w:bCs w:val="false"/>
                <w:color w:val="000000"/>
                <w:sz w:val="18"/>
                <w:szCs w:val="18"/>
              </w:rPr>
              <w:t xml:space="preserve">Performance Return</w:t>
            </w:r>
          </w:p>
        </w:tc>
        <w:tc>
          <w:tcPr>
            <w:tcW w:type="dxa" w:w="1450"/>
            <w:tcMar>
              <w:top w:type="dxa" w:w="60"/>
              <w:left w:type="dxa" w:w="80"/>
              <w:bottom w:type="dxa" w:w="60"/>
              <w:right w:type="dxa" w:w="80"/>
            </w:tcMar>
          </w:tcPr>
          <w:p>
            <w:r>
              <w:rPr>
                <w:b w:val="false"/>
                <w:bCs w:val="false"/>
                <w:color w:val="000000"/>
                <w:sz w:val="18"/>
                <w:szCs w:val="18"/>
              </w:rPr>
              <w:t xml:space="preserve">Account or composite x period</w:t>
            </w:r>
          </w:p>
        </w:tc>
        <w:tc>
          <w:tcPr>
            <w:tcW w:type="dxa" w:w="1750"/>
            <w:tcMar>
              <w:top w:type="dxa" w:w="60"/>
              <w:left w:type="dxa" w:w="80"/>
              <w:bottom w:type="dxa" w:w="60"/>
              <w:right w:type="dxa" w:w="80"/>
            </w:tcMar>
          </w:tcPr>
          <w:p>
            <w:r>
              <w:rPr>
                <w:b w:val="false"/>
                <w:bCs w:val="false"/>
                <w:color w:val="000000"/>
                <w:sz w:val="18"/>
                <w:szCs w:val="18"/>
              </w:rPr>
              <w:t xml:space="preserve">perf_sk</w:t>
            </w:r>
          </w:p>
        </w:tc>
        <w:tc>
          <w:tcPr>
            <w:tcW w:type="dxa" w:w="2050"/>
            <w:tcMar>
              <w:top w:type="dxa" w:w="60"/>
              <w:left w:type="dxa" w:w="80"/>
              <w:bottom w:type="dxa" w:w="60"/>
              <w:right w:type="dxa" w:w="80"/>
            </w:tcMar>
          </w:tcPr>
          <w:p>
            <w:r>
              <w:rPr>
                <w:b w:val="false"/>
                <w:bCs w:val="false"/>
                <w:color w:val="000000"/>
                <w:sz w:val="18"/>
                <w:szCs w:val="18"/>
              </w:rPr>
              <w:t xml:space="preserve">Asserted-time only</w:t>
            </w:r>
          </w:p>
        </w:tc>
        <w:tc>
          <w:tcPr>
            <w:tcW w:type="dxa" w:w="1550"/>
            <w:tcMar>
              <w:top w:type="dxa" w:w="60"/>
              <w:left w:type="dxa" w:w="80"/>
              <w:bottom w:type="dxa" w:w="60"/>
              <w:right w:type="dxa" w:w="80"/>
            </w:tcMar>
          </w:tcPr>
          <w:p>
            <w:r>
              <w:rPr>
                <w:b w:val="false"/>
                <w:bCs w:val="false"/>
                <w:color w:val="000000"/>
                <w:sz w:val="18"/>
                <w:szCs w:val="18"/>
              </w:rPr>
              <w:t xml:space="preserve">Derived / SWP performance</w:t>
            </w:r>
          </w:p>
        </w:tc>
        <w:tc>
          <w:tcPr>
            <w:tcW w:type="dxa" w:w="2150"/>
            <w:tcMar>
              <w:top w:type="dxa" w:w="60"/>
              <w:left w:type="dxa" w:w="80"/>
              <w:bottom w:type="dxa" w:w="60"/>
              <w:right w:type="dxa" w:w="80"/>
            </w:tcMar>
          </w:tcPr>
          <w:p>
            <w:r>
              <w:rPr>
                <w:b w:val="false"/>
                <w:bCs w:val="false"/>
                <w:color w:val="000000"/>
                <w:sz w:val="18"/>
                <w:szCs w:val="18"/>
              </w:rPr>
              <w:t xml:space="preserve">Restatements captured via assertion history</w:t>
            </w:r>
          </w:p>
        </w:tc>
      </w:tr>
      <w:tr>
        <w:tc>
          <w:tcPr>
            <w:tcW w:type="dxa" w:w="1450"/>
            <w:shd w:fill="EDF1F8" w:val="clear"/>
            <w:tcMar>
              <w:top w:type="dxa" w:w="60"/>
              <w:left w:type="dxa" w:w="80"/>
              <w:bottom w:type="dxa" w:w="60"/>
              <w:right w:type="dxa" w:w="80"/>
            </w:tcMar>
          </w:tcPr>
          <w:p>
            <w:r>
              <w:rPr>
                <w:b w:val="false"/>
                <w:bCs w:val="false"/>
                <w:color w:val="000000"/>
                <w:sz w:val="18"/>
                <w:szCs w:val="18"/>
              </w:rPr>
              <w:t xml:space="preserve">Reference / Classification</w:t>
            </w:r>
          </w:p>
        </w:tc>
        <w:tc>
          <w:tcPr>
            <w:tcW w:type="dxa" w:w="1450"/>
            <w:shd w:fill="EDF1F8" w:val="clear"/>
            <w:tcMar>
              <w:top w:type="dxa" w:w="60"/>
              <w:left w:type="dxa" w:w="80"/>
              <w:bottom w:type="dxa" w:w="60"/>
              <w:right w:type="dxa" w:w="80"/>
            </w:tcMar>
          </w:tcPr>
          <w:p>
            <w:r>
              <w:rPr>
                <w:b w:val="false"/>
                <w:bCs w:val="false"/>
                <w:color w:val="000000"/>
                <w:sz w:val="18"/>
                <w:szCs w:val="18"/>
              </w:rPr>
              <w:t xml:space="preserve">Node per hierarchy member</w:t>
            </w:r>
          </w:p>
        </w:tc>
        <w:tc>
          <w:tcPr>
            <w:tcW w:type="dxa" w:w="1750"/>
            <w:shd w:fill="EDF1F8" w:val="clear"/>
            <w:tcMar>
              <w:top w:type="dxa" w:w="60"/>
              <w:left w:type="dxa" w:w="80"/>
              <w:bottom w:type="dxa" w:w="60"/>
              <w:right w:type="dxa" w:w="80"/>
            </w:tcMar>
          </w:tcPr>
          <w:p>
            <w:r>
              <w:rPr>
                <w:b w:val="false"/>
                <w:bCs w:val="false"/>
                <w:color w:val="000000"/>
                <w:sz w:val="18"/>
                <w:szCs w:val="18"/>
              </w:rPr>
              <w:t xml:space="preserve">class_sk; hierarchy_id</w:t>
            </w:r>
          </w:p>
        </w:tc>
        <w:tc>
          <w:tcPr>
            <w:tcW w:type="dxa" w:w="2050"/>
            <w:shd w:fill="EDF1F8" w:val="clear"/>
            <w:tcMar>
              <w:top w:type="dxa" w:w="60"/>
              <w:left w:type="dxa" w:w="80"/>
              <w:bottom w:type="dxa" w:w="60"/>
              <w:right w:type="dxa" w:w="80"/>
            </w:tcMar>
          </w:tcPr>
          <w:p>
            <w:r>
              <w:rPr>
                <w:b w:val="false"/>
                <w:bCs w:val="false"/>
                <w:color w:val="000000"/>
                <w:sz w:val="18"/>
                <w:szCs w:val="18"/>
              </w:rPr>
              <w:t xml:space="preserve">Effective-dated</w:t>
            </w:r>
          </w:p>
        </w:tc>
        <w:tc>
          <w:tcPr>
            <w:tcW w:type="dxa" w:w="1550"/>
            <w:shd w:fill="EDF1F8" w:val="clear"/>
            <w:tcMar>
              <w:top w:type="dxa" w:w="60"/>
              <w:left w:type="dxa" w:w="80"/>
              <w:bottom w:type="dxa" w:w="60"/>
              <w:right w:type="dxa" w:w="80"/>
            </w:tcMar>
          </w:tcPr>
          <w:p>
            <w:r>
              <w:rPr>
                <w:b w:val="false"/>
                <w:bCs w:val="false"/>
                <w:color w:val="000000"/>
                <w:sz w:val="18"/>
                <w:szCs w:val="18"/>
              </w:rPr>
              <w:t xml:space="preserve">Governed mapping tables</w:t>
            </w:r>
          </w:p>
        </w:tc>
        <w:tc>
          <w:tcPr>
            <w:tcW w:type="dxa" w:w="2150"/>
            <w:shd w:fill="EDF1F8" w:val="clear"/>
            <w:tcMar>
              <w:top w:type="dxa" w:w="60"/>
              <w:left w:type="dxa" w:w="80"/>
              <w:bottom w:type="dxa" w:w="60"/>
              <w:right w:type="dxa" w:w="80"/>
            </w:tcMar>
          </w:tcPr>
          <w:p>
            <w:r>
              <w:rPr>
                <w:b w:val="false"/>
                <w:bCs w:val="false"/>
                <w:color w:val="000000"/>
                <w:sz w:val="18"/>
                <w:szCs w:val="18"/>
              </w:rPr>
              <w:t xml:space="preserve">GICS, asset class, regulatory buckets; drives enrichment</w:t>
            </w:r>
          </w:p>
        </w:tc>
      </w:tr>
    </w:tbl>
    <w:p>
      <w:pPr>
        <w:spacing w:after="100"/>
      </w:pPr>
    </w:p>
    <w:p>
      <w:pPr>
        <w:pStyle w:val="Heading2"/>
        <w:spacing w:after="80" w:before="200"/>
      </w:pPr>
      <w:r>
        <w:rPr>
          <w:b/>
          <w:bCs/>
          <w:color w:val="1F3864"/>
          <w:sz w:val="22"/>
          <w:szCs w:val="22"/>
        </w:rPr>
        <w:t xml:space="preserve">Cross-Reference (Xref) Layer</w:t>
      </w:r>
    </w:p>
    <w:p>
      <w:pPr>
        <w:spacing w:after="100"/>
      </w:pPr>
      <w:r>
        <w:rPr>
          <w:sz w:val="20"/>
          <w:szCs w:val="20"/>
        </w:rPr>
        <w:t xml:space="preserve">party_xref, account_xref, and instrument_xref map (source_system, natural_key) to BBH-owned surrogate keys. The xref layer is where dual-run reconciliation happens — the same canonical account fed from AddVantage and SWP, with derived positions diffed. It is also the NYDFS lineage anchor: every canonical row traces to an evidence-tagged source record, registered in CP 360. A future vendor swap touches only the xref layer.</w:t>
      </w:r>
    </w:p>
    <w:p>
      <w:pPr>
        <w:pStyle w:val="Heading2"/>
        <w:spacing w:after="80" w:before="200"/>
      </w:pPr>
      <w:r>
        <w:rPr>
          <w:b/>
          <w:bCs/>
          <w:color w:val="1F3864"/>
          <w:sz w:val="22"/>
          <w:szCs w:val="22"/>
        </w:rPr>
        <w:t xml:space="preserve">Enrichment Placement</w:t>
      </w:r>
    </w:p>
    <w:p>
      <w:pPr>
        <w:spacing w:after="100"/>
      </w:pPr>
      <w:r>
        <w:rPr>
          <w:sz w:val="20"/>
          <w:szCs w:val="20"/>
        </w:rPr>
        <w:t xml:space="preserve">Classification enrichment (asset class, GICS, regulatory buckets), FX and base-currency valuation, and household rollups are derived dbt models between Bronze and Silver, each with independent lineage. Canonical facts are never mutated by enrichment; upstream changes trigger re-derivation.</w:t>
      </w:r>
    </w:p>
    <w:p>
      <w:pPr>
        <w:pStyle w:val="Heading1"/>
        <w:spacing w:after="120" w:before="280"/>
      </w:pPr>
      <w:r>
        <w:rPr>
          <w:b/>
          <w:bCs/>
          <w:color w:val="1F3864"/>
          <w:sz w:val="26"/>
          <w:szCs w:val="26"/>
        </w:rPr>
        <w:t xml:space="preserve">3. Physical Performance Principles</w:t>
      </w:r>
    </w:p>
    <w:p>
      <w:pPr>
        <w:pStyle w:val="ListParagraph"/>
        <w:numPr>
          <w:ilvl w:val="0"/>
          <w:numId w:val="2"/>
        </w:numPr>
        <w:spacing w:after="60"/>
      </w:pPr>
      <w:r>
        <w:rPr>
          <w:b/>
          <w:bCs/>
          <w:sz w:val="20"/>
          <w:szCs w:val="20"/>
        </w:rPr>
        <w:t xml:space="preserve">Partitioning as backbone — </w:t>
      </w:r>
      <w:r>
        <w:rPr>
          <w:sz w:val="20"/>
          <w:szCs w:val="20"/>
        </w:rPr>
        <w:t xml:space="preserve">Range-partition Transaction and Valuation by business effective date (monthly), hash sub-partition large tables by account. Position and Cash Balance snapshots range-partitioned by as-of date. Account + date predicates prune on every ABOR query; dual-run reconciliation becomes a partition-wise join.</w:t>
      </w:r>
    </w:p>
    <w:p>
      <w:pPr>
        <w:pStyle w:val="ListParagraph"/>
        <w:numPr>
          <w:ilvl w:val="0"/>
          <w:numId w:val="2"/>
        </w:numPr>
        <w:spacing w:after="60"/>
      </w:pPr>
      <w:r>
        <w:rPr>
          <w:b/>
          <w:bCs/>
          <w:sz w:val="20"/>
          <w:szCs w:val="20"/>
        </w:rPr>
        <w:t xml:space="preserve">Materialized serving snapshots — </w:t>
      </w:r>
      <w:r>
        <w:rPr>
          <w:sz w:val="20"/>
          <w:szCs w:val="20"/>
        </w:rPr>
        <w:t xml:space="preserve">Consumers never derive positions at query time. Daily Position and Cash Balance snapshots are dbt incremental, insert-only, partitioned models. The event stream remains audit truth; snapshots are the serving layer. Bitemporal columns identify dirty partitions when late or restated transactions arrive, so recompute is surgical.</w:t>
      </w:r>
    </w:p>
    <w:p>
      <w:pPr>
        <w:pStyle w:val="ListParagraph"/>
        <w:numPr>
          <w:ilvl w:val="0"/>
          <w:numId w:val="2"/>
        </w:numPr>
        <w:spacing w:after="60"/>
      </w:pPr>
      <w:r>
        <w:rPr>
          <w:b/>
          <w:bCs/>
          <w:sz w:val="20"/>
          <w:szCs w:val="20"/>
        </w:rPr>
        <w:t xml:space="preserve">Current-knowledge fast path — </w:t>
      </w:r>
      <w:r>
        <w:rPr>
          <w:sz w:val="20"/>
          <w:szCs w:val="20"/>
        </w:rPr>
        <w:t xml:space="preserve">Roughly 95% of queries want asserted_to = high-date. An is_current flag (or function-based index) maintained by the dbt merge removes the temporal-filter tax from latest-state queries. Full time-travel queries are rare and may scan.</w:t>
      </w:r>
    </w:p>
    <w:p>
      <w:pPr>
        <w:pStyle w:val="ListParagraph"/>
        <w:numPr>
          <w:ilvl w:val="0"/>
          <w:numId w:val="2"/>
        </w:numPr>
        <w:spacing w:after="60"/>
      </w:pPr>
      <w:r>
        <w:rPr>
          <w:b/>
          <w:bCs/>
          <w:sz w:val="20"/>
          <w:szCs w:val="20"/>
        </w:rPr>
        <w:t xml:space="preserve">Insert-only with logical closure — </w:t>
      </w:r>
      <w:r>
        <w:rPr>
          <w:sz w:val="20"/>
          <w:szCs w:val="20"/>
        </w:rPr>
        <w:t xml:space="preserve">New assertions are appended and prior assertions logically closed, avoiding wide MERGEs. This favours Oracle direct-path loads today and translates to Delta append + MERGE on Databricks with the same dbt model code.</w:t>
      </w:r>
    </w:p>
    <w:p>
      <w:pPr>
        <w:pStyle w:val="ListParagraph"/>
        <w:numPr>
          <w:ilvl w:val="0"/>
          <w:numId w:val="2"/>
        </w:numPr>
        <w:spacing w:after="60"/>
      </w:pPr>
      <w:r>
        <w:rPr>
          <w:b/>
          <w:bCs/>
          <w:sz w:val="20"/>
          <w:szCs w:val="20"/>
        </w:rPr>
        <w:t xml:space="preserve">Materialized Gold — </w:t>
      </w:r>
      <w:r>
        <w:rPr>
          <w:sz w:val="20"/>
          <w:szCs w:val="20"/>
        </w:rPr>
        <w:t xml:space="preserve">Legacy facades are materialized tables, not views over Silver. Legacy consumers expect AddVantage-era latency and must not each pay the bitemporal filter cost.</w:t>
      </w:r>
    </w:p>
    <w:p>
      <w:pPr>
        <w:pStyle w:val="Heading1"/>
        <w:spacing w:after="120" w:before="280"/>
      </w:pPr>
      <w:r>
        <w:rPr>
          <w:b/>
          <w:bCs/>
          <w:color w:val="1F3864"/>
          <w:sz w:val="26"/>
          <w:szCs w:val="26"/>
        </w:rPr>
        <w:t xml:space="preserve">4. Gold-as-Facade Governance Rules</w:t>
      </w:r>
    </w:p>
    <w:p>
      <w:pPr>
        <w:pStyle w:val="ListParagraph"/>
        <w:numPr>
          <w:ilvl w:val="0"/>
          <w:numId w:val="2"/>
        </w:numPr>
        <w:spacing w:after="60"/>
      </w:pPr>
      <w:r>
        <w:rPr>
          <w:b/>
          <w:bCs/>
          <w:sz w:val="20"/>
          <w:szCs w:val="20"/>
        </w:rPr>
        <w:t xml:space="preserve">Registered deprecation surface — </w:t>
      </w:r>
      <w:r>
        <w:rPr>
          <w:sz w:val="20"/>
          <w:szCs w:val="20"/>
        </w:rPr>
        <w:t xml:space="preserve">Every Gold object carries owning consumers, retirement target, and canonical source mapping, registered in CP 360 via the interface_object_map pattern. Decommissioning is a quarterly burn-down metric (e.g. consumers remaining on Gold contracts), turning the AddVantage sunset into a curve rather than a cliff.</w:t>
      </w:r>
    </w:p>
    <w:p>
      <w:pPr>
        <w:pStyle w:val="ListParagraph"/>
        <w:numPr>
          <w:ilvl w:val="0"/>
          <w:numId w:val="2"/>
        </w:numPr>
        <w:spacing w:after="60"/>
      </w:pPr>
      <w:r>
        <w:rPr>
          <w:b/>
          <w:bCs/>
          <w:sz w:val="20"/>
          <w:szCs w:val="20"/>
        </w:rPr>
        <w:t xml:space="preserve">Throwaway by design — </w:t>
      </w:r>
      <w:r>
        <w:rPr>
          <w:sz w:val="20"/>
          <w:szCs w:val="20"/>
        </w:rPr>
        <w:t xml:space="preserve">Gold mapping logic is intentionally lightweight: renames, unpivots to legacy denormalized shapes, and code-value translation via seeded mapping tables — never hardcoded CASE logic. Seeded tables are auditable, diffable, and double as the dual-run reconciliation asset.</w:t>
      </w:r>
    </w:p>
    <w:p>
      <w:pPr>
        <w:pStyle w:val="ListParagraph"/>
        <w:numPr>
          <w:ilvl w:val="0"/>
          <w:numId w:val="2"/>
        </w:numPr>
        <w:spacing w:after="60"/>
      </w:pPr>
      <w:r>
        <w:rPr>
          <w:b/>
          <w:bCs/>
          <w:sz w:val="20"/>
          <w:szCs w:val="20"/>
        </w:rPr>
        <w:t xml:space="preserve">One-way semantic loss — </w:t>
      </w:r>
      <w:r>
        <w:rPr>
          <w:sz w:val="20"/>
          <w:szCs w:val="20"/>
        </w:rPr>
        <w:t xml:space="preserve">Canonical-to-legacy projection may lose fidelity (bitemporality flattened to current knowledge, event chains netted). Legacy-shaped requirements must never leak into Silver. Any request to add an AddVantage-ism to the canonical model to ease Gold mapping is rejected as an architecture principle with ARB enforcement.</w:t>
      </w:r>
    </w:p>
    <w:p>
      <w:pPr>
        <w:pStyle w:val="ListParagraph"/>
        <w:numPr>
          <w:ilvl w:val="0"/>
          <w:numId w:val="2"/>
        </w:numPr>
        <w:spacing w:after="60"/>
      </w:pPr>
      <w:r>
        <w:rPr>
          <w:b/>
          <w:bCs/>
          <w:sz w:val="20"/>
          <w:szCs w:val="20"/>
        </w:rPr>
        <w:t xml:space="preserve">No new consumers on Gold — </w:t>
      </w:r>
      <w:r>
        <w:rPr>
          <w:sz w:val="20"/>
          <w:szCs w:val="20"/>
        </w:rPr>
        <w:t xml:space="preserve">From Stage 2 forward, new consumers bind only to canonical contracts or analytics marts derived from Silver. The deprecation surface must shrink monotonically.</w:t>
      </w:r>
    </w:p>
    <w:p>
      <w:pPr>
        <w:pStyle w:val="ListParagraph"/>
        <w:numPr>
          <w:ilvl w:val="0"/>
          <w:numId w:val="2"/>
        </w:numPr>
        <w:spacing w:after="60"/>
      </w:pPr>
      <w:r>
        <w:rPr>
          <w:b/>
          <w:bCs/>
          <w:sz w:val="20"/>
          <w:szCs w:val="20"/>
        </w:rPr>
        <w:t xml:space="preserve">Corporate Actions as first-class events — </w:t>
      </w:r>
      <w:r>
        <w:rPr>
          <w:sz w:val="20"/>
          <w:szCs w:val="20"/>
        </w:rPr>
        <w:t xml:space="preserve">CA events generate transaction children, preserving the causal chain auditors examine and matching SEI's representation so reconciliation remains one-to-one.</w:t>
      </w:r>
    </w:p>
    <w:p>
      <w:pPr>
        <w:pStyle w:val="Heading1"/>
        <w:spacing w:after="120" w:before="280"/>
      </w:pPr>
      <w:r>
        <w:rPr>
          <w:b/>
          <w:bCs/>
          <w:color w:val="1F3864"/>
          <w:sz w:val="26"/>
          <w:szCs w:val="26"/>
        </w:rPr>
        <w:t xml:space="preserve">5. Target-State Alignment</w:t>
      </w:r>
    </w:p>
    <w:p>
      <w:pPr>
        <w:spacing w:after="100"/>
      </w:pPr>
      <w:r>
        <w:rPr>
          <w:sz w:val="20"/>
          <w:szCs w:val="20"/>
        </w:rPr>
        <w:t xml:space="preserve">Only Silver and the canonical contracts migrate to Databricks. Medallion structure, bitemporal columns, and insert-only event sourcing translate directly to Delta with minimal remodeling. Gold legacy facades remain on Oracle and are retired in place with their consumers, bounding the migration scope to the layer that carries long-term value.</w:t>
      </w:r>
    </w:p>
    <w:sectPr>
      <w:pgSz w:w="12240" w:h="15840" w:orient="portrait"/>
      <w:pgMar w:top="900" w:right="920" w:bottom="900" w:left="9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2026-07-14T00:22:39.143Z</dcterms:created>
  <dcterms:modified xsi:type="dcterms:W3CDTF">2026-07-14T00:22:39.160Z</dcterms:modified>
</cp:coreProperties>
</file>

<file path=docProps/custom.xml><?xml version="1.0" encoding="utf-8"?>
<Properties xmlns="http://schemas.openxmlformats.org/officeDocument/2006/custom-properties" xmlns:vt="http://schemas.openxmlformats.org/officeDocument/2006/docPropsVTypes"/>
</file>