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b/>
          <w:bCs/>
          <w:caps/>
          <w:color w:val="1F5C6B"/>
          <w:spacing w:val="60"/>
          <w:sz w:val="20"/>
          <w:szCs w:val="20"/>
        </w:rPr>
        <w:t xml:space="preserve">BROWN BROTHERS HARRIMAN</w:t>
      </w:r>
    </w:p>
    <w:p>
      <w:pPr>
        <w:spacing w:after="480" w:before="0"/>
        <w:jc w:val="center"/>
      </w:pPr>
      <w:r>
        <w:rPr>
          <w:rFonts w:ascii="Arial" w:cs="Arial" w:eastAsia="Arial" w:hAnsi="Arial"/>
          <w:color w:val="5E5A52"/>
          <w:sz w:val="20"/>
          <w:szCs w:val="20"/>
        </w:rPr>
        <w:t xml:space="preserve">Capital Partners Technology  ·  SWP Migration Program</w:t>
      </w:r>
    </w:p>
    <w:p>
      <w:pPr>
        <w:spacing w:after="120" w:before="0"/>
        <w:jc w:val="center"/>
      </w:pPr>
      <w:r>
        <w:rPr>
          <w:rFonts w:ascii="Arial" w:cs="Arial" w:eastAsia="Arial" w:hAnsi="Arial"/>
          <w:b/>
          <w:bCs/>
          <w:color w:val="0A1F2E"/>
          <w:sz w:val="52"/>
          <w:szCs w:val="52"/>
        </w:rPr>
        <w:t xml:space="preserve">SMF Data Strategy, MDM Architecture</w:t>
      </w:r>
    </w:p>
    <w:p>
      <w:pPr>
        <w:spacing w:after="240" w:before="0"/>
        <w:jc w:val="center"/>
      </w:pPr>
      <w:r>
        <w:rPr>
          <w:rFonts w:ascii="Arial" w:cs="Arial" w:eastAsia="Arial" w:hAnsi="Arial"/>
          <w:b/>
          <w:bCs/>
          <w:color w:val="1F5C6B"/>
          <w:sz w:val="52"/>
          <w:szCs w:val="52"/>
        </w:rPr>
        <w:t xml:space="preserve">&amp; GoldenSource Integration</w:t>
      </w:r>
    </w:p>
    <w:p>
      <w:pPr>
        <w:spacing w:after="480" w:before="0"/>
        <w:jc w:val="center"/>
      </w:pPr>
      <w:r>
        <w:rPr>
          <w:rFonts w:ascii="Arial" w:cs="Arial" w:eastAsia="Arial" w:hAnsi="Arial"/>
          <w:i/>
          <w:iCs/>
          <w:color w:val="5E5A52"/>
          <w:sz w:val="22"/>
          <w:szCs w:val="22"/>
        </w:rPr>
        <w:t xml:space="preserve">A complete reference covering current-state analysis, option evaluation, target architecture, GoldenSource fit, SEI DataHub integration, and the contract-first implementation strategy.</w:t>
      </w:r>
    </w:p>
    <w:p>
      <w:pPr>
        <w:pBdr>
          <w:top w:val="single" w:color="1F5C6B" w:sz="4" w:space="6"/>
        </w:pBdr>
        <w:spacing w:after="120" w:before="0"/>
      </w:pPr>
      <w:r>
        <w:t xml:space="preserve"/>
      </w:r>
    </w:p>
    <w:p>
      <w:pPr>
        <w:spacing w:after="80" w:before="0"/>
        <w:jc w:val="center"/>
      </w:pPr>
      <w:r>
        <w:rPr>
          <w:rFonts w:ascii="Arial" w:cs="Arial" w:eastAsia="Arial" w:hAnsi="Arial"/>
          <w:b/>
          <w:bCs/>
          <w:color w:val="0A1F2E"/>
          <w:sz w:val="20"/>
          <w:szCs w:val="20"/>
        </w:rPr>
        <w:t xml:space="preserve">Classification: </w:t>
      </w:r>
      <w:r>
        <w:rPr>
          <w:rFonts w:ascii="Arial" w:cs="Arial" w:eastAsia="Arial" w:hAnsi="Arial"/>
          <w:color w:val="0A1F2E"/>
          <w:sz w:val="20"/>
          <w:szCs w:val="20"/>
        </w:rPr>
        <w:t xml:space="preserve">Confidential &amp; Proprietary</w:t>
      </w:r>
      <w:r>
        <w:rPr>
          <w:rFonts w:ascii="Arial" w:cs="Arial" w:eastAsia="Arial" w:hAnsi="Arial"/>
          <w:color w:val="5E5A52"/>
          <w:sz w:val="20"/>
          <w:szCs w:val="20"/>
        </w:rPr>
        <w:t xml:space="preserve">   |   </w:t>
      </w:r>
      <w:r>
        <w:rPr>
          <w:rFonts w:ascii="Arial" w:cs="Arial" w:eastAsia="Arial" w:hAnsi="Arial"/>
          <w:b/>
          <w:bCs/>
          <w:color w:val="0A1F2E"/>
          <w:sz w:val="20"/>
          <w:szCs w:val="20"/>
        </w:rPr>
        <w:t xml:space="preserve">Audience: </w:t>
      </w:r>
      <w:r>
        <w:rPr>
          <w:rFonts w:ascii="Arial" w:cs="Arial" w:eastAsia="Arial" w:hAnsi="Arial"/>
          <w:color w:val="0A1F2E"/>
          <w:sz w:val="20"/>
          <w:szCs w:val="20"/>
        </w:rPr>
        <w:t xml:space="preserve">ARB · CTO · Data Council · SEI Account Team</w:t>
      </w:r>
    </w:p>
    <w:p>
      <w:pPr>
        <w:spacing w:after="80" w:before="0"/>
        <w:jc w:val="center"/>
      </w:pPr>
      <w:r>
        <w:rPr>
          <w:rFonts w:ascii="Arial" w:cs="Arial" w:eastAsia="Arial" w:hAnsi="Arial"/>
          <w:b/>
          <w:bCs/>
          <w:color w:val="0A1F2E"/>
          <w:sz w:val="20"/>
          <w:szCs w:val="20"/>
        </w:rPr>
        <w:t xml:space="preserve">Status: </w:t>
      </w:r>
      <w:r>
        <w:rPr>
          <w:rFonts w:ascii="Arial" w:cs="Arial" w:eastAsia="Arial" w:hAnsi="Arial"/>
          <w:color w:val="0A1F2E"/>
          <w:sz w:val="20"/>
          <w:szCs w:val="20"/>
        </w:rPr>
        <w:t xml:space="preserve">For Review   |   </w:t>
      </w:r>
      <w:r>
        <w:rPr>
          <w:rFonts w:ascii="Arial" w:cs="Arial" w:eastAsia="Arial" w:hAnsi="Arial"/>
          <w:b/>
          <w:bCs/>
          <w:color w:val="0A1F2E"/>
          <w:sz w:val="20"/>
          <w:szCs w:val="20"/>
        </w:rPr>
        <w:t xml:space="preserve">Version: </w:t>
      </w:r>
      <w:r>
        <w:rPr>
          <w:rFonts w:ascii="Arial" w:cs="Arial" w:eastAsia="Arial" w:hAnsi="Arial"/>
          <w:color w:val="0A1F2E"/>
          <w:sz w:val="20"/>
          <w:szCs w:val="20"/>
        </w:rPr>
        <w:t xml:space="preserve">1.0   |   </w:t>
      </w:r>
      <w:r>
        <w:rPr>
          <w:rFonts w:ascii="Arial" w:cs="Arial" w:eastAsia="Arial" w:hAnsi="Arial"/>
          <w:b/>
          <w:bCs/>
          <w:color w:val="0A1F2E"/>
          <w:sz w:val="20"/>
          <w:szCs w:val="20"/>
        </w:rPr>
        <w:t xml:space="preserve">Program: </w:t>
      </w:r>
      <w:r>
        <w:rPr>
          <w:rFonts w:ascii="Arial" w:cs="Arial" w:eastAsia="Arial" w:hAnsi="Arial"/>
          <w:color w:val="0A1F2E"/>
          <w:sz w:val="20"/>
          <w:szCs w:val="20"/>
        </w:rPr>
        <w:t xml:space="preserve">SWP Migration · MDM Strategy</w:t>
      </w:r>
    </w:p>
    <w:p>
      <w:pPr>
        <w:spacing w:after="0" w:before="0"/>
      </w:pPr>
      <w:r>
        <w:br w:type="page"/>
      </w:r>
    </w:p>
    <w:p>
      <w:pPr>
        <w:pStyle w:val="Heading1"/>
        <w:pBdr>
          <w:bottom w:val="single" w:color="1F5C6B" w:sz="4" w:space="6"/>
        </w:pBdr>
        <w:spacing w:after="180" w:before="360"/>
      </w:pPr>
      <w:r>
        <w:rPr>
          <w:rFonts w:ascii="Arial" w:cs="Arial" w:eastAsia="Arial" w:hAnsi="Arial"/>
          <w:b/>
          <w:bCs/>
          <w:color w:val="0A1F2E"/>
          <w:sz w:val="32"/>
          <w:szCs w:val="32"/>
        </w:rPr>
        <w:t xml:space="preserve">Chapter 1: Executive Position</w:t>
      </w:r>
    </w:p>
    <w:p>
      <w:pPr>
        <w:pStyle w:val="Heading2"/>
        <w:spacing w:after="120" w:before="300"/>
      </w:pPr>
      <w:r>
        <w:rPr>
          <w:rFonts w:ascii="Arial" w:cs="Arial" w:eastAsia="Arial" w:hAnsi="Arial"/>
          <w:b/>
          <w:bCs/>
          <w:color w:val="1F5C6B"/>
          <w:sz w:val="26"/>
          <w:szCs w:val="26"/>
        </w:rPr>
        <w:t xml:space="preserve">The Core Problem</w:t>
      </w:r>
    </w:p>
    <w:p>
      <w:pPr>
        <w:spacing w:after="100" w:before="80"/>
        <w:jc w:val="left"/>
      </w:pPr>
      <w:r>
        <w:rPr>
          <w:rFonts w:ascii="Arial" w:cs="Arial" w:eastAsia="Arial" w:hAnsi="Arial"/>
          <w:b w:val="false"/>
          <w:bCs w:val="false"/>
          <w:i w:val="false"/>
          <w:iCs w:val="false"/>
          <w:color w:val="0A1F2E"/>
          <w:sz w:val="22"/>
          <w:szCs w:val="22"/>
        </w:rPr>
        <w:t xml:space="preserve">BBH Capital Partners currently operates two separate Security Master File (SMF) operating models that have drifted into mastering roles they were never designed to hold. The Private Banking line treats Addvantage — an accounting system — as the de-facto SMF master. The Investment Manager line treats the IM Data Warehouse — a reporting system — as the master. Neither was designed for that role; both inherited it.</w:t>
      </w:r>
    </w:p>
    <w:p>
      <w:pPr>
        <w:spacing w:after="100" w:before="80"/>
        <w:jc w:val="left"/>
      </w:pPr>
      <w:r>
        <w:rPr>
          <w:rFonts w:ascii="Arial" w:cs="Arial" w:eastAsia="Arial" w:hAnsi="Arial"/>
          <w:b w:val="false"/>
          <w:bCs w:val="false"/>
          <w:i w:val="false"/>
          <w:iCs w:val="false"/>
          <w:color w:val="0A1F2E"/>
          <w:sz w:val="22"/>
          <w:szCs w:val="22"/>
        </w:rPr>
        <w:t xml:space="preserve">The SWP migration forces the question the firm has avoided for a decade: do we keep mastering reference data inside whatever system happens to be downstream, or do we build a real Master Data Management capability and reduce SWP to its actual job — accounting?</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The Recommendation</w:t>
      </w:r>
    </w:p>
    <w:p>
      <w:pPr>
        <w:pBdr>
          <w:left w:val="single" w:color="1F5C6B" w:sz="12" w:space="6"/>
        </w:pBdr>
        <w:shd w:fill="D0E4E8" w:val="clear"/>
        <w:spacing w:after="120" w:before="120"/>
        <w:ind w:left="180"/>
      </w:pPr>
      <w:r>
        <w:rPr>
          <w:rFonts w:ascii="Arial" w:cs="Arial" w:eastAsia="Arial" w:hAnsi="Arial"/>
          <w:i/>
          <w:iCs/>
          <w:color w:val="0A1F2E"/>
          <w:sz w:val="22"/>
          <w:szCs w:val="22"/>
        </w:rPr>
        <w:t xml:space="preserve">Commit to Option 2 (Strategic) as the target architecture. If SWP go-live timing forces it, use Option 3 (Semi-Strategic) as Phase 1 of Option 2 — with an explicit, contractual decommission trigger written into the architecture decision record. Option 1 (Lift &amp; Shift) is off the table.</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Why This Matters Beyond SMF</w:t>
      </w:r>
    </w:p>
    <w:p>
      <w:pPr>
        <w:spacing w:after="100" w:before="80"/>
        <w:jc w:val="left"/>
      </w:pPr>
      <w:r>
        <w:rPr>
          <w:rFonts w:ascii="Arial" w:cs="Arial" w:eastAsia="Arial" w:hAnsi="Arial"/>
          <w:b w:val="false"/>
          <w:bCs w:val="false"/>
          <w:i w:val="false"/>
          <w:iCs w:val="false"/>
          <w:color w:val="0A1F2E"/>
          <w:sz w:val="22"/>
          <w:szCs w:val="22"/>
        </w:rPr>
        <w:t xml:space="preserve">This decision sets the platform pattern that Party/Client, Account/UAF, and a cross-domain identity graph will inherit over the next five years. The platform investment in the first domain amortizes across all four — second domain at roughly 60% of the first domain's cost, third at 50%, fourth at 45%. That is the core economic argument for a multi-domain MDM program rather than four separate efforts.</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The Two Contradictions Nobody Has Named</w:t>
      </w:r>
    </w:p>
    <w:p>
      <w:pPr>
        <w:pBdr>
          <w:left w:val="single" w:color="B85C38" w:sz="12" w:space="6"/>
        </w:pBdr>
        <w:shd w:fill="F9ECE5" w:val="clear"/>
        <w:spacing w:after="120" w:before="120"/>
        <w:ind w:left="180"/>
      </w:pPr>
      <w:r>
        <w:rPr>
          <w:rFonts w:ascii="Arial" w:cs="Arial" w:eastAsia="Arial" w:hAnsi="Arial"/>
          <w:b/>
          <w:bCs/>
          <w:color w:val="0A1F2E"/>
          <w:sz w:val="22"/>
          <w:szCs w:val="22"/>
        </w:rPr>
        <w:t xml:space="preserve">Contradiction 1:</w:t>
      </w:r>
      <w:r>
        <w:rPr>
          <w:rFonts w:ascii="Arial" w:cs="Arial" w:eastAsia="Arial" w:hAnsi="Arial"/>
          <w:i/>
          <w:iCs/>
          <w:color w:val="0A1F2E"/>
          <w:sz w:val="22"/>
          <w:szCs w:val="22"/>
        </w:rPr>
        <w:t xml:space="preserve"> SWP must ship in 27 months. SEI contracts, regulatory commitments, vendor sunset dates, and consumer migration plans are all pinned to this window.</w:t>
      </w:r>
    </w:p>
    <w:p>
      <w:pPr>
        <w:pBdr>
          <w:left w:val="single" w:color="B85C38" w:sz="12" w:space="6"/>
        </w:pBdr>
        <w:shd w:fill="F9ECE5" w:val="clear"/>
        <w:spacing w:after="120" w:before="120"/>
        <w:ind w:left="180"/>
      </w:pPr>
      <w:r>
        <w:rPr>
          <w:rFonts w:ascii="Arial" w:cs="Arial" w:eastAsia="Arial" w:hAnsi="Arial"/>
          <w:b/>
          <w:bCs/>
          <w:color w:val="0A1F2E"/>
          <w:sz w:val="22"/>
          <w:szCs w:val="22"/>
        </w:rPr>
        <w:t xml:space="preserve">Contradiction 2:</w:t>
      </w:r>
      <w:r>
        <w:rPr>
          <w:rFonts w:ascii="Arial" w:cs="Arial" w:eastAsia="Arial" w:hAnsi="Arial"/>
          <w:i/>
          <w:iCs/>
          <w:color w:val="0A1F2E"/>
          <w:sz w:val="22"/>
          <w:szCs w:val="22"/>
        </w:rPr>
        <w:t xml:space="preserve"> MDM is a 24-36 month program. Running both in parallel requires capacity, attention, and budget that the SWP program is already drawing on.</w:t>
      </w:r>
    </w:p>
    <w:p>
      <w:pPr>
        <w:spacing w:after="60" w:before="60"/>
      </w:pPr>
      <w:r>
        <w:t xml:space="preserve"/>
      </w:r>
    </w:p>
    <w:p>
      <w:pPr>
        <w:spacing w:after="100" w:before="80"/>
        <w:jc w:val="left"/>
      </w:pPr>
      <w:r>
        <w:rPr>
          <w:rFonts w:ascii="Arial" w:cs="Arial" w:eastAsia="Arial" w:hAnsi="Arial"/>
          <w:b w:val="false"/>
          <w:bCs w:val="false"/>
          <w:i w:val="false"/>
          <w:iCs w:val="false"/>
          <w:color w:val="0A1F2E"/>
          <w:sz w:val="22"/>
          <w:szCs w:val="22"/>
        </w:rPr>
        <w:t xml:space="preserve">The smart resolution is the contract-first strategy described in Chapter 9: build the SMF Canonical Contract in Year 1 inside the SWP program envelope, defer the MDM platform decision to Year 2 with real evidence, and decouple the two programs architecturally before they collide politically.</w:t>
      </w:r>
    </w:p>
    <w:p>
      <w:pPr>
        <w:spacing w:after="0" w:before="0"/>
      </w:pPr>
      <w:r>
        <w:br w:type="page"/>
      </w:r>
    </w:p>
    <w:p>
      <w:pPr>
        <w:pStyle w:val="Heading1"/>
        <w:pBdr>
          <w:bottom w:val="single" w:color="1F5C6B" w:sz="4" w:space="6"/>
        </w:pBdr>
        <w:spacing w:after="180" w:before="360"/>
      </w:pPr>
      <w:r>
        <w:rPr>
          <w:rFonts w:ascii="Arial" w:cs="Arial" w:eastAsia="Arial" w:hAnsi="Arial"/>
          <w:b/>
          <w:bCs/>
          <w:color w:val="0A1F2E"/>
          <w:sz w:val="32"/>
          <w:szCs w:val="32"/>
        </w:rPr>
        <w:t xml:space="preserve">Chapter 2: Current State Analysis</w:t>
      </w:r>
    </w:p>
    <w:p>
      <w:pPr>
        <w:pStyle w:val="Heading2"/>
        <w:spacing w:after="120" w:before="300"/>
      </w:pPr>
      <w:r>
        <w:rPr>
          <w:rFonts w:ascii="Arial" w:cs="Arial" w:eastAsia="Arial" w:hAnsi="Arial"/>
          <w:b/>
          <w:bCs/>
          <w:color w:val="1F5C6B"/>
          <w:sz w:val="26"/>
          <w:szCs w:val="26"/>
        </w:rPr>
        <w:t xml:space="preserve">Private Banking (PB) — The Accounting System is the Heart</w:t>
      </w:r>
    </w:p>
    <w:p>
      <w:pPr>
        <w:spacing w:after="100" w:before="80"/>
        <w:jc w:val="left"/>
      </w:pPr>
      <w:r>
        <w:rPr>
          <w:rFonts w:ascii="Arial" w:cs="Arial" w:eastAsia="Arial" w:hAnsi="Arial"/>
          <w:b w:val="false"/>
          <w:bCs w:val="false"/>
          <w:i w:val="false"/>
          <w:iCs w:val="false"/>
          <w:color w:val="0A1F2E"/>
          <w:sz w:val="22"/>
          <w:szCs w:val="22"/>
        </w:rPr>
        <w:t xml:space="preserve">The PB SMF team has three structural pain points that the current architecture creates:</w:t>
      </w:r>
    </w:p>
    <w:p>
      <w:pPr>
        <w:pStyle w:val="ListParagraph"/>
        <w:numPr>
          <w:ilvl w:val="0"/>
          <w:numId w:val="2"/>
        </w:numPr>
        <w:spacing w:after="60" w:before="60"/>
      </w:pPr>
      <w:r>
        <w:rPr>
          <w:rFonts w:ascii="Arial" w:cs="Arial" w:eastAsia="Arial" w:hAnsi="Arial"/>
          <w:b/>
          <w:bCs/>
          <w:color w:val="0A1F2E"/>
          <w:sz w:val="22"/>
          <w:szCs w:val="22"/>
        </w:rPr>
        <w:t xml:space="preserve">Manual security setup:</w:t>
      </w:r>
      <w:r>
        <w:rPr>
          <w:rFonts w:ascii="Arial" w:cs="Arial" w:eastAsia="Arial" w:hAnsi="Arial"/>
          <w:color w:val="0A1F2E"/>
          <w:sz w:val="22"/>
          <w:szCs w:val="22"/>
        </w:rPr>
        <w:t xml:space="preserve"> The PB SMF team has manual work required to set up new securities, creating delays and error-prone processes.</w:t>
      </w:r>
    </w:p>
    <w:p>
      <w:pPr>
        <w:pStyle w:val="ListParagraph"/>
        <w:numPr>
          <w:ilvl w:val="0"/>
          <w:numId w:val="2"/>
        </w:numPr>
        <w:spacing w:after="60" w:before="60"/>
      </w:pPr>
      <w:r>
        <w:rPr>
          <w:rFonts w:ascii="Arial" w:cs="Arial" w:eastAsia="Arial" w:hAnsi="Arial"/>
          <w:b/>
          <w:bCs/>
          <w:color w:val="0A1F2E"/>
          <w:sz w:val="22"/>
          <w:szCs w:val="22"/>
        </w:rPr>
        <w:t xml:space="preserve">Wrong system for the job:</w:t>
      </w:r>
      <w:r>
        <w:rPr>
          <w:rFonts w:ascii="Arial" w:cs="Arial" w:eastAsia="Arial" w:hAnsi="Arial"/>
          <w:color w:val="0A1F2E"/>
          <w:sz w:val="22"/>
          <w:szCs w:val="22"/>
        </w:rPr>
        <w:t xml:space="preserve"> The firm is forcing an accounting system (Addvantage) to house data not needed for accounting but for reporting. This creates maintenance and governance overhead that compounds over time.</w:t>
      </w:r>
    </w:p>
    <w:p>
      <w:pPr>
        <w:pStyle w:val="ListParagraph"/>
        <w:numPr>
          <w:ilvl w:val="0"/>
          <w:numId w:val="2"/>
        </w:numPr>
        <w:spacing w:after="60" w:before="60"/>
      </w:pPr>
      <w:r>
        <w:rPr>
          <w:rFonts w:ascii="Arial" w:cs="Arial" w:eastAsia="Arial" w:hAnsi="Arial"/>
          <w:b/>
          <w:bCs/>
          <w:color w:val="0A1F2E"/>
          <w:sz w:val="22"/>
          <w:szCs w:val="22"/>
        </w:rPr>
        <w:t xml:space="preserve">Limited market data sources:</w:t>
      </w:r>
      <w:r>
        <w:rPr>
          <w:rFonts w:ascii="Arial" w:cs="Arial" w:eastAsia="Arial" w:hAnsi="Arial"/>
          <w:color w:val="0A1F2E"/>
          <w:sz w:val="22"/>
          <w:szCs w:val="22"/>
        </w:rPr>
        <w:t xml:space="preserve"> Only IDC is available for PB. Bloomberg is the IM source. Limited coverage creates gaps in Fixed Income Analytics and bank loan data.</w:t>
      </w:r>
    </w:p>
    <w:p>
      <w:pPr>
        <w:pStyle w:val="ListParagraph"/>
        <w:numPr>
          <w:ilvl w:val="0"/>
          <w:numId w:val="2"/>
        </w:numPr>
        <w:spacing w:after="60" w:before="60"/>
      </w:pPr>
      <w:r>
        <w:rPr>
          <w:rFonts w:ascii="Arial" w:cs="Arial" w:eastAsia="Arial" w:hAnsi="Arial"/>
          <w:b/>
          <w:bCs/>
          <w:color w:val="0A1F2E"/>
          <w:sz w:val="22"/>
          <w:szCs w:val="22"/>
        </w:rPr>
        <w:t xml:space="preserve">Source of truth conflict:</w:t>
      </w:r>
      <w:r>
        <w:rPr>
          <w:rFonts w:ascii="Arial" w:cs="Arial" w:eastAsia="Arial" w:hAnsi="Arial"/>
          <w:color w:val="0A1F2E"/>
          <w:sz w:val="22"/>
          <w:szCs w:val="22"/>
        </w:rPr>
        <w:t xml:space="preserve"> Addvantage operates as a divergent source of truth with IM, leading to regulatory reporting inconsistencies and data maintenance failures.</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Investment Manager (IM) — The Data Warehouse is the Heart</w:t>
      </w:r>
    </w:p>
    <w:p>
      <w:pPr>
        <w:pStyle w:val="ListParagraph"/>
        <w:numPr>
          <w:ilvl w:val="0"/>
          <w:numId w:val="3"/>
        </w:numPr>
        <w:spacing w:after="60" w:before="60"/>
      </w:pPr>
      <w:r>
        <w:rPr>
          <w:rFonts w:ascii="Arial" w:cs="Arial" w:eastAsia="Arial" w:hAnsi="Arial"/>
          <w:b/>
          <w:bCs/>
          <w:color w:val="0A1F2E"/>
          <w:sz w:val="22"/>
          <w:szCs w:val="22"/>
        </w:rPr>
        <w:t xml:space="preserve">Manual Bloomberg ingestion:</w:t>
      </w:r>
      <w:r>
        <w:rPr>
          <w:rFonts w:ascii="Arial" w:cs="Arial" w:eastAsia="Arial" w:hAnsi="Arial"/>
          <w:color w:val="0A1F2E"/>
          <w:sz w:val="22"/>
          <w:szCs w:val="22"/>
        </w:rPr>
        <w:t xml:space="preserve"> Less manual work than PB SMF team due to richer market data feeds from Bloomberg, but still requires manual ingestion steps for certain instrument types.</w:t>
      </w:r>
    </w:p>
    <w:p>
      <w:pPr>
        <w:pStyle w:val="ListParagraph"/>
        <w:numPr>
          <w:ilvl w:val="0"/>
          <w:numId w:val="3"/>
        </w:numPr>
        <w:spacing w:after="60" w:before="60"/>
      </w:pPr>
      <w:r>
        <w:rPr>
          <w:rFonts w:ascii="Arial" w:cs="Arial" w:eastAsia="Arial" w:hAnsi="Arial"/>
          <w:b/>
          <w:bCs/>
          <w:color w:val="0A1F2E"/>
          <w:sz w:val="22"/>
          <w:szCs w:val="22"/>
        </w:rPr>
        <w:t xml:space="preserve">SMF data subset only:</w:t>
      </w:r>
      <w:r>
        <w:rPr>
          <w:rFonts w:ascii="Arial" w:cs="Arial" w:eastAsia="Arial" w:hAnsi="Arial"/>
          <w:color w:val="0A1F2E"/>
          <w:sz w:val="22"/>
          <w:szCs w:val="22"/>
        </w:rPr>
        <w:t xml:space="preserve"> IM adopts, and at times overrides, a subset of SMF data from InServ/Golden Source. The data model is constrained by InServ coverage.</w:t>
      </w:r>
    </w:p>
    <w:p>
      <w:pPr>
        <w:pStyle w:val="ListParagraph"/>
        <w:numPr>
          <w:ilvl w:val="0"/>
          <w:numId w:val="3"/>
        </w:numPr>
        <w:spacing w:after="60" w:before="60"/>
      </w:pPr>
      <w:r>
        <w:rPr>
          <w:rFonts w:ascii="Arial" w:cs="Arial" w:eastAsia="Arial" w:hAnsi="Arial"/>
          <w:b/>
          <w:bCs/>
          <w:color w:val="0A1F2E"/>
          <w:sz w:val="22"/>
          <w:szCs w:val="22"/>
        </w:rPr>
        <w:t xml:space="preserve">Home-grown IM Portal:</w:t>
      </w:r>
      <w:r>
        <w:rPr>
          <w:rFonts w:ascii="Arial" w:cs="Arial" w:eastAsia="Arial" w:hAnsi="Arial"/>
          <w:color w:val="0A1F2E"/>
          <w:sz w:val="22"/>
          <w:szCs w:val="22"/>
        </w:rPr>
        <w:t xml:space="preserve"> IM requires manual intervention via a home-grown IM Portal tool that is not integrated with the canonical data flow.</w:t>
      </w:r>
    </w:p>
    <w:p>
      <w:pPr>
        <w:pStyle w:val="ListParagraph"/>
        <w:numPr>
          <w:ilvl w:val="0"/>
          <w:numId w:val="3"/>
        </w:numPr>
        <w:spacing w:after="60" w:before="60"/>
      </w:pPr>
      <w:r>
        <w:rPr>
          <w:rFonts w:ascii="Arial" w:cs="Arial" w:eastAsia="Arial" w:hAnsi="Arial"/>
          <w:b/>
          <w:bCs/>
          <w:color w:val="0A1F2E"/>
          <w:sz w:val="22"/>
          <w:szCs w:val="22"/>
        </w:rPr>
        <w:t xml:space="preserve">Duplicate source of truth:</w:t>
      </w:r>
      <w:r>
        <w:rPr>
          <w:rFonts w:ascii="Arial" w:cs="Arial" w:eastAsia="Arial" w:hAnsi="Arial"/>
          <w:color w:val="0A1F2E"/>
          <w:sz w:val="22"/>
          <w:szCs w:val="22"/>
        </w:rPr>
        <w:t xml:space="preserve"> Duplicate source of truth with PB leads to regulatory reporting issues and data maintenance problems that require ongoing manual reconciliation.</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The Four Root Failures — Shared by Both Lanes</w:t>
      </w:r>
    </w:p>
    <w:p>
      <w:pPr>
        <w:pStyle w:val="ListParagraph"/>
        <w:numPr>
          <w:ilvl w:val="0"/>
          <w:numId w:val="4"/>
        </w:numPr>
        <w:spacing w:after="60" w:before="60"/>
      </w:pPr>
      <w:r>
        <w:rPr>
          <w:rFonts w:ascii="Arial" w:cs="Arial" w:eastAsia="Arial" w:hAnsi="Arial"/>
          <w:b/>
          <w:bCs/>
          <w:color w:val="0A1F2E"/>
          <w:sz w:val="22"/>
          <w:szCs w:val="22"/>
        </w:rPr>
        <w:t xml:space="preserve">Wrong system shape:</w:t>
      </w:r>
      <w:r>
        <w:rPr>
          <w:rFonts w:ascii="Arial" w:cs="Arial" w:eastAsia="Arial" w:hAnsi="Arial"/>
          <w:color w:val="0A1F2E"/>
          <w:sz w:val="22"/>
          <w:szCs w:val="22"/>
        </w:rPr>
        <w:t xml:space="preserve"> Accounting and reporting systems optimize for posting and querying, not for survivorship rules, override hierarchies, or bitemporal history. Mastering inside them is always retrofit.</w:t>
      </w:r>
    </w:p>
    <w:p>
      <w:pPr>
        <w:pStyle w:val="ListParagraph"/>
        <w:numPr>
          <w:ilvl w:val="0"/>
          <w:numId w:val="4"/>
        </w:numPr>
        <w:spacing w:after="60" w:before="60"/>
      </w:pPr>
      <w:r>
        <w:rPr>
          <w:rFonts w:ascii="Arial" w:cs="Arial" w:eastAsia="Arial" w:hAnsi="Arial"/>
          <w:b/>
          <w:bCs/>
          <w:color w:val="0A1F2E"/>
          <w:sz w:val="22"/>
          <w:szCs w:val="22"/>
        </w:rPr>
        <w:t xml:space="preserve">Two operating models:</w:t>
      </w:r>
      <w:r>
        <w:rPr>
          <w:rFonts w:ascii="Arial" w:cs="Arial" w:eastAsia="Arial" w:hAnsi="Arial"/>
          <w:color w:val="0A1F2E"/>
          <w:sz w:val="22"/>
          <w:szCs w:val="22"/>
        </w:rPr>
        <w:t xml:space="preserve"> Two steward teams with separate tooling, vendor relationships, and escalation paths. Conflicts on the same security across LOBs have no native resolution mechanism.</w:t>
      </w:r>
    </w:p>
    <w:p>
      <w:pPr>
        <w:pStyle w:val="ListParagraph"/>
        <w:numPr>
          <w:ilvl w:val="0"/>
          <w:numId w:val="4"/>
        </w:numPr>
        <w:spacing w:after="60" w:before="60"/>
      </w:pPr>
      <w:r>
        <w:rPr>
          <w:rFonts w:ascii="Arial" w:cs="Arial" w:eastAsia="Arial" w:hAnsi="Arial"/>
          <w:b/>
          <w:bCs/>
          <w:color w:val="0A1F2E"/>
          <w:sz w:val="22"/>
          <w:szCs w:val="22"/>
        </w:rPr>
        <w:t xml:space="preserve">Limited and duplicated market data sources:</w:t>
      </w:r>
      <w:r>
        <w:rPr>
          <w:rFonts w:ascii="Arial" w:cs="Arial" w:eastAsia="Arial" w:hAnsi="Arial"/>
          <w:color w:val="0A1F2E"/>
          <w:sz w:val="22"/>
          <w:szCs w:val="22"/>
        </w:rPr>
        <w:t xml:space="preserve"> IDC for PB, Bloomberg for IM. Duplicate spend; FI analytics gaps where the chosen vendor does not cover the instrument.</w:t>
      </w:r>
    </w:p>
    <w:p>
      <w:pPr>
        <w:pStyle w:val="ListParagraph"/>
        <w:numPr>
          <w:ilvl w:val="0"/>
          <w:numId w:val="4"/>
        </w:numPr>
        <w:spacing w:after="60" w:before="60"/>
      </w:pPr>
      <w:r>
        <w:rPr>
          <w:rFonts w:ascii="Arial" w:cs="Arial" w:eastAsia="Arial" w:hAnsi="Arial"/>
          <w:b/>
          <w:bCs/>
          <w:color w:val="0A1F2E"/>
          <w:sz w:val="22"/>
          <w:szCs w:val="22"/>
        </w:rPr>
        <w:t xml:space="preserve">No regulatory-grade lineage:</w:t>
      </w:r>
      <w:r>
        <w:rPr>
          <w:rFonts w:ascii="Arial" w:cs="Arial" w:eastAsia="Arial" w:hAnsi="Arial"/>
          <w:color w:val="0A1F2E"/>
          <w:sz w:val="22"/>
          <w:szCs w:val="22"/>
        </w:rPr>
        <w:t xml:space="preserve"> Reference data flows through systems whose audit posture is built around journal entries or report deltas, not 'what was the security's classification at 14:32 last Wednesday.'</w:t>
      </w:r>
    </w:p>
    <w:p>
      <w:pPr>
        <w:spacing w:after="0" w:before="0"/>
      </w:pPr>
      <w:r>
        <w:br w:type="page"/>
      </w:r>
    </w:p>
    <w:p>
      <w:pPr>
        <w:pStyle w:val="Heading1"/>
        <w:pBdr>
          <w:bottom w:val="single" w:color="1F5C6B" w:sz="4" w:space="6"/>
        </w:pBdr>
        <w:spacing w:after="180" w:before="360"/>
      </w:pPr>
      <w:r>
        <w:rPr>
          <w:rFonts w:ascii="Arial" w:cs="Arial" w:eastAsia="Arial" w:hAnsi="Arial"/>
          <w:b/>
          <w:bCs/>
          <w:color w:val="0A1F2E"/>
          <w:sz w:val="32"/>
          <w:szCs w:val="32"/>
        </w:rPr>
        <w:t xml:space="preserve">Chapter 3: SMF Options Analysis</w:t>
      </w:r>
    </w:p>
    <w:p>
      <w:pPr>
        <w:pStyle w:val="Heading2"/>
        <w:spacing w:after="120" w:before="300"/>
      </w:pPr>
      <w:r>
        <w:rPr>
          <w:rFonts w:ascii="Arial" w:cs="Arial" w:eastAsia="Arial" w:hAnsi="Arial"/>
          <w:b/>
          <w:bCs/>
          <w:color w:val="1F5C6B"/>
          <w:sz w:val="26"/>
          <w:szCs w:val="26"/>
        </w:rPr>
        <w:t xml:space="preserve">Business Objectives (from the Strategy Deck)</w:t>
      </w:r>
    </w:p>
    <w:p>
      <w:pPr>
        <w:pStyle w:val="ListParagraph"/>
        <w:numPr>
          <w:ilvl w:val="0"/>
          <w:numId w:val="5"/>
        </w:numPr>
        <w:spacing w:after="60" w:before="60"/>
      </w:pPr>
      <w:r>
        <w:rPr>
          <w:rFonts w:ascii="Arial" w:cs="Arial" w:eastAsia="Arial" w:hAnsi="Arial"/>
          <w:b/>
          <w:bCs/>
          <w:color w:val="0A1F2E"/>
          <w:sz w:val="22"/>
          <w:szCs w:val="22"/>
        </w:rPr>
        <w:t xml:space="preserve">Single source of truth:</w:t>
      </w:r>
      <w:r>
        <w:rPr>
          <w:rFonts w:ascii="Arial" w:cs="Arial" w:eastAsia="Arial" w:hAnsi="Arial"/>
          <w:color w:val="0A1F2E"/>
          <w:sz w:val="22"/>
          <w:szCs w:val="22"/>
        </w:rPr>
        <w:t xml:space="preserve"> Move to a single source of truth for security master data across SMF domains and route master data to the right domains.</w:t>
      </w:r>
    </w:p>
    <w:p>
      <w:pPr>
        <w:pStyle w:val="ListParagraph"/>
        <w:numPr>
          <w:ilvl w:val="0"/>
          <w:numId w:val="5"/>
        </w:numPr>
        <w:spacing w:after="60" w:before="60"/>
      </w:pPr>
      <w:r>
        <w:rPr>
          <w:rFonts w:ascii="Arial" w:cs="Arial" w:eastAsia="Arial" w:hAnsi="Arial"/>
          <w:b/>
          <w:bCs/>
          <w:color w:val="0A1F2E"/>
          <w:sz w:val="22"/>
          <w:szCs w:val="22"/>
        </w:rPr>
        <w:t xml:space="preserve">SWP alignment:</w:t>
      </w:r>
      <w:r>
        <w:rPr>
          <w:rFonts w:ascii="Arial" w:cs="Arial" w:eastAsia="Arial" w:hAnsi="Arial"/>
          <w:color w:val="0A1F2E"/>
          <w:sz w:val="22"/>
          <w:szCs w:val="22"/>
        </w:rPr>
        <w:t xml:space="preserve"> Support the SWP project and align as much as possible with the above components of the CP Data Strategy subject's roadmap.</w:t>
      </w:r>
    </w:p>
    <w:p>
      <w:pPr>
        <w:pStyle w:val="ListParagraph"/>
        <w:numPr>
          <w:ilvl w:val="0"/>
          <w:numId w:val="5"/>
        </w:numPr>
        <w:spacing w:after="60" w:before="60"/>
      </w:pPr>
      <w:r>
        <w:rPr>
          <w:rFonts w:ascii="Arial" w:cs="Arial" w:eastAsia="Arial" w:hAnsi="Arial"/>
          <w:b/>
          <w:bCs/>
          <w:color w:val="0A1F2E"/>
          <w:sz w:val="22"/>
          <w:szCs w:val="22"/>
        </w:rPr>
        <w:t xml:space="preserve">Reduce manual processes:</w:t>
      </w:r>
      <w:r>
        <w:rPr>
          <w:rFonts w:ascii="Arial" w:cs="Arial" w:eastAsia="Arial" w:hAnsi="Arial"/>
          <w:color w:val="0A1F2E"/>
          <w:sz w:val="22"/>
          <w:szCs w:val="22"/>
        </w:rPr>
        <w:t xml:space="preserve"> Eliminate or reduce manual processes which introduce risk and are time-consuming.</w:t>
      </w:r>
    </w:p>
    <w:p>
      <w:pPr>
        <w:pStyle w:val="ListParagraph"/>
        <w:numPr>
          <w:ilvl w:val="0"/>
          <w:numId w:val="5"/>
        </w:numPr>
        <w:spacing w:after="60" w:before="60"/>
      </w:pPr>
      <w:r>
        <w:rPr>
          <w:rFonts w:ascii="Arial" w:cs="Arial" w:eastAsia="Arial" w:hAnsi="Arial"/>
          <w:b/>
          <w:bCs/>
          <w:color w:val="0A1F2E"/>
          <w:sz w:val="22"/>
          <w:szCs w:val="22"/>
        </w:rPr>
        <w:t xml:space="preserve">Optimize operating model:</w:t>
      </w:r>
      <w:r>
        <w:rPr>
          <w:rFonts w:ascii="Arial" w:cs="Arial" w:eastAsia="Arial" w:hAnsi="Arial"/>
          <w:color w:val="0A1F2E"/>
          <w:sz w:val="22"/>
          <w:szCs w:val="22"/>
        </w:rPr>
        <w:t xml:space="preserve"> Optimize business operating model for master data management.</w:t>
      </w:r>
    </w:p>
    <w:p>
      <w:pPr>
        <w:pStyle w:val="ListParagraph"/>
        <w:numPr>
          <w:ilvl w:val="0"/>
          <w:numId w:val="5"/>
        </w:numPr>
        <w:spacing w:after="60" w:before="60"/>
      </w:pPr>
      <w:r>
        <w:rPr>
          <w:rFonts w:ascii="Arial" w:cs="Arial" w:eastAsia="Arial" w:hAnsi="Arial"/>
          <w:b/>
          <w:bCs/>
          <w:color w:val="0A1F2E"/>
          <w:sz w:val="22"/>
          <w:szCs w:val="22"/>
        </w:rPr>
        <w:t xml:space="preserve">Optimize market data cost:</w:t>
      </w:r>
      <w:r>
        <w:rPr>
          <w:rFonts w:ascii="Arial" w:cs="Arial" w:eastAsia="Arial" w:hAnsi="Arial"/>
          <w:color w:val="0A1F2E"/>
          <w:sz w:val="22"/>
          <w:szCs w:val="22"/>
        </w:rPr>
        <w:t xml:space="preserve"> Optimize market data costs through consolidation and rationalization.</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Option 1: Lift &amp; Shift — Lowest Time, Lowest Benefit</w:t>
      </w:r>
    </w:p>
    <w:p>
      <w:pPr>
        <w:pBdr>
          <w:left w:val="single" w:color="B85C38" w:sz="12" w:space="6"/>
        </w:pBdr>
        <w:shd w:fill="F9ECE5" w:val="clear"/>
        <w:spacing w:after="120" w:before="120"/>
        <w:ind w:left="180"/>
      </w:pPr>
      <w:r>
        <w:rPr>
          <w:rFonts w:ascii="Arial" w:cs="Arial" w:eastAsia="Arial" w:hAnsi="Arial"/>
          <w:i/>
          <w:iCs/>
          <w:color w:val="0A1F2E"/>
          <w:sz w:val="22"/>
          <w:szCs w:val="22"/>
        </w:rPr>
        <w:t xml:space="preserve">Assessment: Off the table. Eight bullets in the deck, seven of them negative. The deck answers itself.</w:t>
      </w:r>
    </w:p>
    <w:p>
      <w:pPr>
        <w:pStyle w:val="ListParagraph"/>
        <w:numPr>
          <w:ilvl w:val="0"/>
          <w:numId w:val="4"/>
        </w:numPr>
        <w:spacing w:after="60" w:before="60"/>
      </w:pPr>
      <w:r>
        <w:rPr>
          <w:rFonts w:ascii="Arial" w:cs="Arial" w:eastAsia="Arial" w:hAnsi="Arial"/>
          <w:b/>
          <w:bCs/>
          <w:color w:val="0A1F2E"/>
          <w:sz w:val="22"/>
          <w:szCs w:val="22"/>
        </w:rPr>
        <w:t xml:space="preserve">Least invasive, fastest to market — but:</w:t>
      </w:r>
      <w:r>
        <w:rPr>
          <w:rFonts w:ascii="Arial" w:cs="Arial" w:eastAsia="Arial" w:hAnsi="Arial"/>
          <w:color w:val="0A1F2E"/>
          <w:sz w:val="22"/>
          <w:szCs w:val="22"/>
        </w:rPr>
        <w:t xml:space="preserve"> Does not solve single source of truth. Does not consolidate the operations team. Results in duplicative market data spend (IDC &amp; Bloomberg). Limits to market data sources supported by SWP resulting in sub-optimal FI analytics and gaps with bank loans. Increases risk by exposing PB SMF team to complex FI instruments they do not manage today. Continues to mis-use an accounting system as an MDM system. Overall not aligned with CP Data Strategy.</w:t>
      </w:r>
    </w:p>
    <w:p>
      <w:pPr>
        <w:spacing w:after="100" w:before="80"/>
        <w:jc w:val="left"/>
      </w:pPr>
      <w:r>
        <w:rPr>
          <w:rFonts w:ascii="Arial" w:cs="Arial" w:eastAsia="Arial" w:hAnsi="Arial"/>
          <w:b w:val="false"/>
          <w:bCs w:val="false"/>
          <w:i w:val="false"/>
          <w:iCs w:val="false"/>
          <w:color w:val="0A1F2E"/>
          <w:sz w:val="22"/>
          <w:szCs w:val="22"/>
        </w:rPr>
        <w:t xml:space="preserve">The critical failure: SWP inherits Addvantage's and IM DWH's de-facto MDM role. The pathology that Addvantage had carries forward into SWP, dressed in different clothing. The SEI DataHub investment (dbt canonical layer, Airflow governance, NYDFS compliance narrative) is partially wasted because it enforces contracts on unreliable source data.</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Option 2: Strategic — Highest Time, Highest Benefits</w:t>
      </w:r>
    </w:p>
    <w:p>
      <w:pPr>
        <w:pBdr>
          <w:left w:val="single" w:color="2D6A4F" w:sz="12" w:space="6"/>
        </w:pBdr>
        <w:shd w:fill="E6F0EC" w:val="clear"/>
        <w:spacing w:after="120" w:before="120"/>
        <w:ind w:left="180"/>
      </w:pPr>
      <w:r>
        <w:rPr>
          <w:rFonts w:ascii="Arial" w:cs="Arial" w:eastAsia="Arial" w:hAnsi="Arial"/>
          <w:i/>
          <w:iCs/>
          <w:color w:val="0A1F2E"/>
          <w:sz w:val="22"/>
          <w:szCs w:val="22"/>
        </w:rPr>
        <w:t xml:space="preserve">Assessment: The architecture that ages well. Recommended as the target state.</w:t>
      </w:r>
    </w:p>
    <w:p>
      <w:pPr>
        <w:pStyle w:val="ListParagraph"/>
        <w:numPr>
          <w:ilvl w:val="0"/>
          <w:numId w:val="4"/>
        </w:numPr>
        <w:spacing w:after="60" w:before="60"/>
      </w:pPr>
      <w:r>
        <w:rPr>
          <w:rFonts w:ascii="Arial" w:cs="Arial" w:eastAsia="Arial" w:hAnsi="Arial"/>
          <w:b/>
          <w:bCs/>
          <w:color w:val="0A1F2E"/>
          <w:sz w:val="22"/>
          <w:szCs w:val="22"/>
        </w:rPr>
        <w:t xml:space="preserve">Most invasive, slowest to market — but:</w:t>
      </w:r>
      <w:r>
        <w:rPr>
          <w:rFonts w:ascii="Arial" w:cs="Arial" w:eastAsia="Arial" w:hAnsi="Arial"/>
          <w:color w:val="0A1F2E"/>
          <w:sz w:val="22"/>
          <w:szCs w:val="22"/>
        </w:rPr>
        <w:t xml:space="preserve"> Solves single source of truth. Solves single operations team for SMF. Solves duplicative market data spend. Reduces risk and time-consuming manual work. Overall well-aligned with CP Data Strategy. Provides time to migrate consumers to CPWH. Limits SWP scope to its core mission of accounting.</w:t>
      </w:r>
    </w:p>
    <w:p>
      <w:pPr>
        <w:spacing w:after="100" w:before="80"/>
        <w:jc w:val="left"/>
      </w:pPr>
      <w:r>
        <w:rPr>
          <w:rFonts w:ascii="Arial" w:cs="Arial" w:eastAsia="Arial" w:hAnsi="Arial"/>
          <w:b w:val="false"/>
          <w:bCs w:val="false"/>
          <w:i w:val="false"/>
          <w:iCs w:val="false"/>
          <w:color w:val="0A1F2E"/>
          <w:sz w:val="22"/>
          <w:szCs w:val="22"/>
        </w:rPr>
        <w:t xml:space="preserve">The critical decision: TBD whether to integrate SWP directly with Golden Source or with the new CPWH, given the need for intraday updates. The architecture chapter (Chapter 4) resolves this: SWP feeds from the BBH SMF Interface Contract, which is initially sourced from Addvantage and later from GoldenSource.</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Option 3: Semi-Strategic — The Happy Medium That Isn't</w:t>
      </w:r>
    </w:p>
    <w:p>
      <w:pPr>
        <w:pBdr>
          <w:left w:val="single" w:color="C9A961" w:sz="12" w:space="6"/>
        </w:pBdr>
        <w:shd w:fill="F4EFEA" w:val="clear"/>
        <w:spacing w:after="120" w:before="120"/>
        <w:ind w:left="180"/>
      </w:pPr>
      <w:r>
        <w:rPr>
          <w:rFonts w:ascii="Arial" w:cs="Arial" w:eastAsia="Arial" w:hAnsi="Arial"/>
          <w:i/>
          <w:iCs/>
          <w:color w:val="0A1F2E"/>
          <w:sz w:val="22"/>
          <w:szCs w:val="22"/>
        </w:rPr>
        <w:t xml:space="preserve">Assessment: Defensible only as Phase 1 of Option 2, with a contractual decommission trigger written into the ADR.</w:t>
      </w:r>
    </w:p>
    <w:p>
      <w:pPr>
        <w:pStyle w:val="ListParagraph"/>
        <w:numPr>
          <w:ilvl w:val="0"/>
          <w:numId w:val="4"/>
        </w:numPr>
        <w:spacing w:after="60" w:before="60"/>
      </w:pPr>
      <w:r>
        <w:rPr>
          <w:rFonts w:ascii="Arial" w:cs="Arial" w:eastAsia="Arial" w:hAnsi="Arial"/>
          <w:b/>
          <w:bCs/>
          <w:color w:val="0A1F2E"/>
          <w:sz w:val="22"/>
          <w:szCs w:val="22"/>
        </w:rPr>
        <w:t xml:space="preserve">Low/Mid invasive solution, minimal SWP timeline impact — and does:</w:t>
      </w:r>
      <w:r>
        <w:rPr>
          <w:rFonts w:ascii="Arial" w:cs="Arial" w:eastAsia="Arial" w:hAnsi="Arial"/>
          <w:color w:val="0A1F2E"/>
          <w:sz w:val="22"/>
          <w:szCs w:val="22"/>
        </w:rPr>
        <w:t xml:space="preserve"> Solve single source of truth. Solve single operations team for SMF. Could solve duplicative market data spend if the direct SWP market data feeds can be turned off. Reduce risk and time-consuming manual work. Provide time to migrate consumers to CPWH.</w:t>
      </w:r>
    </w:p>
    <w:p>
      <w:pPr>
        <w:pStyle w:val="ListParagraph"/>
        <w:numPr>
          <w:ilvl w:val="0"/>
          <w:numId w:val="4"/>
        </w:numPr>
        <w:spacing w:after="60" w:before="60"/>
      </w:pPr>
      <w:r>
        <w:rPr>
          <w:rFonts w:ascii="Arial" w:cs="Arial" w:eastAsia="Arial" w:hAnsi="Arial"/>
          <w:b/>
          <w:bCs/>
          <w:color w:val="0A1F2E"/>
          <w:sz w:val="22"/>
          <w:szCs w:val="22"/>
        </w:rPr>
        <w:t xml:space="preserve">However, bullet 8 of the Option 3 slide is the tell:</w:t>
      </w:r>
      <w:r>
        <w:rPr>
          <w:rFonts w:ascii="Arial" w:cs="Arial" w:eastAsia="Arial" w:hAnsi="Arial"/>
          <w:color w:val="0A1F2E"/>
          <w:sz w:val="22"/>
          <w:szCs w:val="22"/>
        </w:rPr>
        <w:t xml:space="preserve"> Forces SWP to pass-thru ALL SMF data needed for IMDS and PBWH. This is not a feature — it is the same anti-pattern as Option 1 in lighter clothing. Without a hard decommission trigger, semi-strategic becomes permanent and the same conversation recurs in 2030.</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Layer-by-Layer Impact on the SEI DataHub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430"/>
        <w:gridCol w:w="2430"/>
      </w:tblGrid>
      <w:tr>
        <w:tc>
          <w:tcPr>
            <w:tcW w:type="dxa" w:w="22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SEI DataHub Layer</w:t>
            </w:r>
          </w:p>
        </w:tc>
        <w:tc>
          <w:tcPr>
            <w:tcW w:type="dxa" w:w="2300"/>
            <w:tcBorders>
              <w:top w:val="single" w:color="CCCCCC" w:sz="1"/>
              <w:left w:val="single" w:color="CCCCCC" w:sz="1"/>
              <w:bottom w:val="single" w:color="CCCCCC" w:sz="1"/>
              <w:right w:val="single" w:color="CCCCCC" w:sz="1"/>
            </w:tcBorders>
            <w:shd w:fill="B85C38" w:val="clear"/>
            <w:tcMar>
              <w:top w:type="dxa" w:w="80"/>
              <w:left w:type="dxa" w:w="120"/>
              <w:bottom w:type="dxa" w:w="80"/>
              <w:right w:type="dxa" w:w="120"/>
            </w:tcMar>
          </w:tcPr>
          <w:p>
            <w:r>
              <w:rPr>
                <w:rFonts w:ascii="Arial" w:cs="Arial" w:eastAsia="Arial" w:hAnsi="Arial"/>
                <w:b/>
                <w:bCs/>
                <w:color w:val="FFFFFF"/>
                <w:sz w:val="19"/>
                <w:szCs w:val="19"/>
              </w:rPr>
              <w:t xml:space="preserve">Option 1</w:t>
            </w:r>
          </w:p>
        </w:tc>
        <w:tc>
          <w:tcPr>
            <w:tcW w:type="dxa" w:w="243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Option 2</w:t>
            </w:r>
          </w:p>
        </w:tc>
        <w:tc>
          <w:tcPr>
            <w:tcW w:type="dxa" w:w="2430"/>
            <w:tcBorders>
              <w:top w:val="single" w:color="CCCCCC" w:sz="1"/>
              <w:left w:val="single" w:color="CCCCCC" w:sz="1"/>
              <w:bottom w:val="single" w:color="CCCCCC" w:sz="1"/>
              <w:right w:val="single" w:color="CCCCCC" w:sz="1"/>
            </w:tcBorders>
            <w:shd w:fill="C9A961" w:val="clear"/>
            <w:tcMar>
              <w:top w:type="dxa" w:w="80"/>
              <w:left w:type="dxa" w:w="120"/>
              <w:bottom w:type="dxa" w:w="80"/>
              <w:right w:type="dxa" w:w="120"/>
            </w:tcMar>
          </w:tcPr>
          <w:p>
            <w:r>
              <w:rPr>
                <w:rFonts w:ascii="Arial" w:cs="Arial" w:eastAsia="Arial" w:hAnsi="Arial"/>
                <w:b/>
                <w:bCs/>
                <w:color w:val="FFFFFF"/>
                <w:sz w:val="19"/>
                <w:szCs w:val="19"/>
              </w:rPr>
              <w:t xml:space="preserve">Option 3</w:t>
            </w:r>
          </w:p>
        </w:tc>
      </w:tr>
      <w:tr>
        <w:tc>
          <w:tcPr>
            <w:tcW w:type="dxa" w:w="22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0A1F2E"/>
                <w:sz w:val="20"/>
                <w:szCs w:val="20"/>
              </w:rPr>
              <w:t xml:space="preserve">Layer 1: SWP</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85C38"/>
                <w:sz w:val="20"/>
                <w:szCs w:val="20"/>
              </w:rPr>
              <w:t xml:space="preserve">Becomes de-facto MDM (anti-pattern)</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4F"/>
                <w:sz w:val="20"/>
                <w:szCs w:val="20"/>
              </w:rPr>
              <w:t xml:space="preserve">Scoped to accounting only</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E5A52"/>
                <w:sz w:val="20"/>
                <w:szCs w:val="20"/>
              </w:rPr>
              <w:t xml:space="preserve">Mixed: accounting + SMF pass-thru</w:t>
            </w:r>
          </w:p>
        </w:tc>
      </w:tr>
      <w:tr>
        <w:tc>
          <w:tcPr>
            <w:tcW w:type="dxa" w:w="22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0A1F2E"/>
                <w:sz w:val="20"/>
                <w:szCs w:val="20"/>
              </w:rPr>
              <w:t xml:space="preserve">Layer 2: Integration Hub</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SWP loaders only</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SWP + GoldenSource pipelines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SWP + GS + reconciliation pipelines</w:t>
            </w:r>
          </w:p>
        </w:tc>
      </w:tr>
      <w:tr>
        <w:tc>
          <w:tcPr>
            <w:tcW w:type="dxa" w:w="22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0A1F2E"/>
                <w:sz w:val="20"/>
                <w:szCs w:val="20"/>
              </w:rPr>
              <w:t xml:space="preserve">Layer 3: dbt Canonical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85C38"/>
                <w:sz w:val="20"/>
                <w:szCs w:val="20"/>
              </w:rPr>
              <w:t xml:space="preserve">Contract on bad source data</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4F"/>
                <w:sz w:val="20"/>
                <w:szCs w:val="20"/>
              </w:rPr>
              <w:t xml:space="preserve">Contract on mastered data</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E5A52"/>
                <w:sz w:val="20"/>
                <w:szCs w:val="20"/>
              </w:rPr>
              <w:t xml:space="preserve">Contract + reconciliation arbitration</w:t>
            </w:r>
          </w:p>
        </w:tc>
      </w:tr>
      <w:tr>
        <w:tc>
          <w:tcPr>
            <w:tcW w:type="dxa" w:w="22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0A1F2E"/>
                <w:sz w:val="20"/>
                <w:szCs w:val="20"/>
              </w:rPr>
              <w:t xml:space="preserve">NYDFS 500 narrative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85C38"/>
                <w:sz w:val="20"/>
                <w:szCs w:val="20"/>
              </w:rPr>
              <w:t xml:space="preserve">Hard to defend</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4F"/>
                <w:sz w:val="20"/>
                <w:szCs w:val="20"/>
              </w:rPr>
              <w:t xml:space="preserve">Clean end-to-end story</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E5A52"/>
                <w:sz w:val="20"/>
                <w:szCs w:val="20"/>
              </w:rPr>
              <w:t xml:space="preserve">Defensible during transition</w:t>
            </w:r>
          </w:p>
        </w:tc>
      </w:tr>
      <w:tr>
        <w:tc>
          <w:tcPr>
            <w:tcW w:type="dxa" w:w="22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0A1F2E"/>
                <w:sz w:val="20"/>
                <w:szCs w:val="20"/>
              </w:rPr>
              <w:t xml:space="preserve">Operating model consolidation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85C38"/>
                <w:sz w:val="20"/>
                <w:szCs w:val="20"/>
              </w:rPr>
              <w:t xml:space="preserve">Blocked</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4F"/>
                <w:sz w:val="20"/>
                <w:szCs w:val="20"/>
              </w:rPr>
              <w:t xml:space="preserve">Enabled</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E5A52"/>
                <w:sz w:val="20"/>
                <w:szCs w:val="20"/>
              </w:rPr>
              <w:t xml:space="preserve">Partially enabled</w:t>
            </w:r>
          </w:p>
        </w:tc>
      </w:tr>
      <w:tr>
        <w:tc>
          <w:tcPr>
            <w:tcW w:type="dxa" w:w="22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0A1F2E"/>
                <w:sz w:val="20"/>
                <w:szCs w:val="20"/>
              </w:rPr>
              <w:t xml:space="preserve">Vendor consolidation (IDC+BBG)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85C38"/>
                <w:sz w:val="20"/>
                <w:szCs w:val="20"/>
              </w:rPr>
              <w:t xml:space="preserve">Blocked</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4F"/>
                <w:sz w:val="20"/>
                <w:szCs w:val="20"/>
              </w:rPr>
              <w:t xml:space="preserve">Enabled in Y2</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E5A52"/>
                <w:sz w:val="20"/>
                <w:szCs w:val="20"/>
              </w:rPr>
              <w:t xml:space="preserve">Deferred to Y3+</w:t>
            </w:r>
          </w:p>
        </w:tc>
      </w:tr>
      <w:tr>
        <w:tc>
          <w:tcPr>
            <w:tcW w:type="dxa" w:w="22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0A1F2E"/>
                <w:sz w:val="20"/>
                <w:szCs w:val="20"/>
              </w:rPr>
              <w:t xml:space="preserve">Multi-domain expansion (Y2-3)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85C38"/>
                <w:sz w:val="20"/>
                <w:szCs w:val="20"/>
              </w:rPr>
              <w:t xml:space="preserve">Each domain a fresh fight</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4F"/>
                <w:sz w:val="20"/>
                <w:szCs w:val="20"/>
              </w:rPr>
              <w:t xml:space="preserve">Platform pattern reusable</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E5A52"/>
                <w:sz w:val="20"/>
                <w:szCs w:val="20"/>
              </w:rPr>
              <w:t xml:space="preserve">Reusable with carry-forward debt</w:t>
            </w:r>
          </w:p>
        </w:tc>
      </w:tr>
    </w:tbl>
    <w:p>
      <w:pPr>
        <w:spacing w:after="0" w:before="0"/>
      </w:pPr>
      <w:r>
        <w:br w:type="page"/>
      </w:r>
    </w:p>
    <w:p>
      <w:pPr>
        <w:pStyle w:val="Heading1"/>
        <w:pBdr>
          <w:bottom w:val="single" w:color="1F5C6B" w:sz="4" w:space="6"/>
        </w:pBdr>
        <w:spacing w:after="180" w:before="360"/>
      </w:pPr>
      <w:r>
        <w:rPr>
          <w:rFonts w:ascii="Arial" w:cs="Arial" w:eastAsia="Arial" w:hAnsi="Arial"/>
          <w:b/>
          <w:bCs/>
          <w:color w:val="0A1F2E"/>
          <w:sz w:val="32"/>
          <w:szCs w:val="32"/>
        </w:rPr>
        <w:t xml:space="preserve">Chapter 4: Target Architecture — MDM Solution</w:t>
      </w:r>
    </w:p>
    <w:p>
      <w:pPr>
        <w:pStyle w:val="Heading2"/>
        <w:spacing w:after="120" w:before="300"/>
      </w:pPr>
      <w:r>
        <w:rPr>
          <w:rFonts w:ascii="Arial" w:cs="Arial" w:eastAsia="Arial" w:hAnsi="Arial"/>
          <w:b/>
          <w:bCs/>
          <w:color w:val="1F5C6B"/>
          <w:sz w:val="26"/>
          <w:szCs w:val="26"/>
        </w:rPr>
        <w:t xml:space="preserve">Five-Layer Target Topology</w:t>
      </w:r>
    </w:p>
    <w:p>
      <w:pPr>
        <w:spacing w:after="100" w:before="80"/>
        <w:jc w:val="left"/>
      </w:pPr>
      <w:r>
        <w:rPr>
          <w:rFonts w:ascii="Arial" w:cs="Arial" w:eastAsia="Arial" w:hAnsi="Arial"/>
          <w:b w:val="false"/>
          <w:bCs w:val="false"/>
          <w:i w:val="false"/>
          <w:iCs w:val="false"/>
          <w:color w:val="0A1F2E"/>
          <w:sz w:val="22"/>
          <w:szCs w:val="22"/>
        </w:rPr>
        <w:t xml:space="preserve">The target architecture places GoldenSource (or the custom-built equivalent) as the mastering platform above SWP. Five logical layers — Acquisition, Mastering, Distribution, Accounting, Consumption — replace today's scattered de-facto masters. The key architectural boundary: SWP shall not master. Mastering belongs in the MDM platform. SWP and all consumers are siblings sourcing from the Distribution layer.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60"/>
      </w:tblGrid>
      <w:tr>
        <w:tc>
          <w:tcPr>
            <w:tcW w:type="dxa" w:w="16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46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c>
          <w:tcPr>
            <w:tcW w:type="dxa" w:w="316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Boundary Rule</w:t>
            </w:r>
          </w:p>
        </w:tc>
      </w:tr>
      <w:tr>
        <w:tc>
          <w:tcPr>
            <w:tcW w:type="dxa" w:w="16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1F5C6B"/>
                <w:sz w:val="20"/>
                <w:szCs w:val="20"/>
              </w:rPr>
              <w:t xml:space="preserve">01 — Acquisition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Land raw vendor feeds (IDC, Bloomberg, Markit), manual overrides from consolidated CP SMF stewards, and internal sources (Addvantage, IM DWH, UAF, Inserv) with full provenance metadata.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No transformation; preserve verbatim. Partition by source, retain N versions.</w:t>
            </w:r>
          </w:p>
        </w:tc>
      </w:tr>
      <w:tr>
        <w:tc>
          <w:tcPr>
            <w:tcW w:type="dxa" w:w="16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1F5C6B"/>
                <w:sz w:val="20"/>
                <w:szCs w:val="20"/>
              </w:rPr>
              <w:t xml:space="preserve">02 — Mastering</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CP Golden Source / GoldenSource platform: Match, Survive, Override, persist bitemporal history, expose canonical SMF. The authoritative layer.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Authoritative. No other layer masters. SWP shall not master.</w:t>
            </w:r>
          </w:p>
        </w:tc>
      </w:tr>
      <w:tr>
        <w:tc>
          <w:tcPr>
            <w:tcW w:type="dxa" w:w="16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1F5C6B"/>
                <w:sz w:val="20"/>
                <w:szCs w:val="20"/>
              </w:rPr>
              <w:t xml:space="preserve">03 — Distribution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Publish mastered SMF via CDC events (Kafka, intraday), EOD snapshots (batch, reconciliation-grade), and synchronous Reference API (as-of queries).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Read-only republication of mastered state. No transformation.</w:t>
            </w:r>
          </w:p>
        </w:tc>
      </w:tr>
      <w:tr>
        <w:tc>
          <w:tcPr>
            <w:tcW w:type="dxa" w:w="16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1F5C6B"/>
                <w:sz w:val="20"/>
                <w:szCs w:val="20"/>
              </w:rPr>
              <w:t xml:space="preserve">04 — Accounting</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SWP consumes mastered SMF from the Distribution layer and produces positions, lots, NAV, journal entries. Accounting 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SWP shall not master. No override store in SWP.</w:t>
            </w:r>
          </w:p>
        </w:tc>
      </w:tr>
      <w:tr>
        <w:tc>
          <w:tcPr>
            <w:tcW w:type="dxa" w:w="16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1F5C6B"/>
                <w:sz w:val="20"/>
                <w:szCs w:val="20"/>
              </w:rPr>
              <w:t xml:space="preserve">05 — Consumption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CPWH (Bronze/Silver/Gold via dbt), PBWH, IMDS, Pivotal, and the ~1,000 downstream consumer contracts. All via the canonical schema.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No SMF derivation; consume only. Contract enforced.</w:t>
            </w:r>
          </w:p>
        </w:tc>
      </w:tr>
    </w:tbl>
    <w:p>
      <w:pPr>
        <w:spacing w:after="60" w:before="60"/>
      </w:pPr>
      <w:r>
        <w:t xml:space="preserve"/>
      </w:r>
    </w:p>
    <w:p>
      <w:pPr>
        <w:pStyle w:val="Heading2"/>
        <w:spacing w:after="120" w:before="300"/>
      </w:pPr>
      <w:r>
        <w:rPr>
          <w:rFonts w:ascii="Arial" w:cs="Arial" w:eastAsia="Arial" w:hAnsi="Arial"/>
          <w:b/>
          <w:bCs/>
          <w:color w:val="1F5C6B"/>
          <w:sz w:val="26"/>
          <w:szCs w:val="26"/>
        </w:rPr>
        <w:t xml:space="preserve">The Mastering Pipeline — Four Stages</w:t>
      </w:r>
    </w:p>
    <w:p>
      <w:pPr>
        <w:pStyle w:val="ListParagraph"/>
        <w:numPr>
          <w:ilvl w:val="0"/>
          <w:numId w:val="6"/>
        </w:numPr>
        <w:spacing w:after="60" w:before="60"/>
      </w:pPr>
      <w:r>
        <w:rPr>
          <w:rFonts w:ascii="Arial" w:cs="Arial" w:eastAsia="Arial" w:hAnsi="Arial"/>
          <w:b/>
          <w:bCs/>
          <w:color w:val="0A1F2E"/>
          <w:sz w:val="22"/>
          <w:szCs w:val="22"/>
        </w:rPr>
        <w:t xml:space="preserve">Acquire:</w:t>
      </w:r>
      <w:r>
        <w:rPr>
          <w:rFonts w:ascii="Arial" w:cs="Arial" w:eastAsia="Arial" w:hAnsi="Arial"/>
          <w:color w:val="0A1F2E"/>
          <w:sz w:val="22"/>
          <w:szCs w:val="22"/>
        </w:rPr>
        <w:t xml:space="preserve"> Land raw vendor feeds, manual overrides, and client files in the raw zone with provenance metadata. Partitioned by source. N versions retained for replay. Idempotent.</w:t>
      </w:r>
    </w:p>
    <w:p>
      <w:pPr>
        <w:pStyle w:val="ListParagraph"/>
        <w:numPr>
          <w:ilvl w:val="0"/>
          <w:numId w:val="6"/>
        </w:numPr>
        <w:spacing w:after="60" w:before="60"/>
      </w:pPr>
      <w:r>
        <w:rPr>
          <w:rFonts w:ascii="Arial" w:cs="Arial" w:eastAsia="Arial" w:hAnsi="Arial"/>
          <w:b/>
          <w:bCs/>
          <w:color w:val="0A1F2E"/>
          <w:sz w:val="22"/>
          <w:szCs w:val="22"/>
        </w:rPr>
        <w:t xml:space="preserve">Match:</w:t>
      </w:r>
      <w:r>
        <w:rPr>
          <w:rFonts w:ascii="Arial" w:cs="Arial" w:eastAsia="Arial" w:hAnsi="Arial"/>
          <w:color w:val="0A1F2E"/>
          <w:sz w:val="22"/>
          <w:szCs w:val="22"/>
        </w:rPr>
        <w:t xml:space="preserve"> Deterministic key match first (ISIN → CUSIP → SEDOL → ticker+exchange). Where vendor records share none of these identifiers, probabilistic confidence-scored match runs on issuer + instrument-type + maturity + currency. Below threshold (suggested ≥ 0.85) the record is queued for steward review rather than auto-merged.</w:t>
      </w:r>
    </w:p>
    <w:p>
      <w:pPr>
        <w:pStyle w:val="ListParagraph"/>
        <w:numPr>
          <w:ilvl w:val="0"/>
          <w:numId w:val="6"/>
        </w:numPr>
        <w:spacing w:after="60" w:before="60"/>
      </w:pPr>
      <w:r>
        <w:rPr>
          <w:rFonts w:ascii="Arial" w:cs="Arial" w:eastAsia="Arial" w:hAnsi="Arial"/>
          <w:b/>
          <w:bCs/>
          <w:color w:val="0A1F2E"/>
          <w:sz w:val="22"/>
          <w:szCs w:val="22"/>
        </w:rPr>
        <w:t xml:space="preserve">Survive:</w:t>
      </w:r>
      <w:r>
        <w:rPr>
          <w:rFonts w:ascii="Arial" w:cs="Arial" w:eastAsia="Arial" w:hAnsi="Arial"/>
          <w:color w:val="0A1F2E"/>
          <w:sz w:val="22"/>
          <w:szCs w:val="22"/>
        </w:rPr>
        <w:t xml:space="preserve"> Attribute-level survivorship — not record-level. Per-attribute × per-source precedence matrix. Override engine sits on top. Confidence scoring written to the mastered record.</w:t>
      </w:r>
    </w:p>
    <w:p>
      <w:pPr>
        <w:pStyle w:val="ListParagraph"/>
        <w:numPr>
          <w:ilvl w:val="0"/>
          <w:numId w:val="6"/>
        </w:numPr>
        <w:spacing w:after="60" w:before="60"/>
      </w:pPr>
      <w:r>
        <w:rPr>
          <w:rFonts w:ascii="Arial" w:cs="Arial" w:eastAsia="Arial" w:hAnsi="Arial"/>
          <w:b/>
          <w:bCs/>
          <w:color w:val="0A1F2E"/>
          <w:sz w:val="22"/>
          <w:szCs w:val="22"/>
        </w:rPr>
        <w:t xml:space="preserve">Publish:</w:t>
      </w:r>
      <w:r>
        <w:rPr>
          <w:rFonts w:ascii="Arial" w:cs="Arial" w:eastAsia="Arial" w:hAnsi="Arial"/>
          <w:color w:val="0A1F2E"/>
          <w:sz w:val="22"/>
          <w:szCs w:val="22"/>
        </w:rPr>
        <w:t xml:space="preserve"> Persist bitemporal (valid_from, valid_to, system_from, system_to), emit CDC events with per-security-key ordering, generate EOD snapshots, expose Reference API. Exactly-once, replay-safe.</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The Override Engine — Replacing asset_data.xls</w:t>
      </w:r>
    </w:p>
    <w:p>
      <w:pPr>
        <w:spacing w:after="100" w:before="80"/>
        <w:jc w:val="left"/>
      </w:pPr>
      <w:r>
        <w:rPr>
          <w:rFonts w:ascii="Arial" w:cs="Arial" w:eastAsia="Arial" w:hAnsi="Arial"/>
          <w:b w:val="false"/>
          <w:bCs w:val="false"/>
          <w:i w:val="false"/>
          <w:iCs w:val="false"/>
          <w:color w:val="0A1F2E"/>
          <w:sz w:val="22"/>
          <w:szCs w:val="22"/>
        </w:rPr>
        <w:t xml:space="preserve">The override engine is the replacement for SWP's asset_data.xls loader and Addvantage's manual steward override stores. It is a first-class component with full lifecycle management:</w:t>
      </w:r>
    </w:p>
    <w:p>
      <w:pPr>
        <w:pStyle w:val="ListParagraph"/>
        <w:numPr>
          <w:ilvl w:val="0"/>
          <w:numId w:val="4"/>
        </w:numPr>
        <w:spacing w:after="60" w:before="60"/>
      </w:pPr>
      <w:r>
        <w:rPr>
          <w:rFonts w:ascii="Arial" w:cs="Arial" w:eastAsia="Arial" w:hAnsi="Arial"/>
          <w:color w:val="0A1F2E"/>
          <w:sz w:val="22"/>
          <w:szCs w:val="22"/>
        </w:rPr>
        <w:t xml:space="preserve">Create: Steward enters override with justification and mandatory expiry date for time-bounded categories.</w:t>
      </w:r>
    </w:p>
    <w:p>
      <w:pPr>
        <w:pStyle w:val="ListParagraph"/>
        <w:numPr>
          <w:ilvl w:val="0"/>
          <w:numId w:val="4"/>
        </w:numPr>
        <w:spacing w:after="60" w:before="60"/>
      </w:pPr>
      <w:r>
        <w:rPr>
          <w:rFonts w:ascii="Arial" w:cs="Arial" w:eastAsia="Arial" w:hAnsi="Arial"/>
          <w:color w:val="0A1F2E"/>
          <w:sz w:val="22"/>
          <w:szCs w:val="22"/>
        </w:rPr>
        <w:t xml:space="preserve">Review: Automated checks run (conflict detection, coverage check) followed by peer review.</w:t>
      </w:r>
    </w:p>
    <w:p>
      <w:pPr>
        <w:pStyle w:val="ListParagraph"/>
        <w:numPr>
          <w:ilvl w:val="0"/>
          <w:numId w:val="4"/>
        </w:numPr>
        <w:spacing w:after="60" w:before="60"/>
      </w:pPr>
      <w:r>
        <w:rPr>
          <w:rFonts w:ascii="Arial" w:cs="Arial" w:eastAsia="Arial" w:hAnsi="Arial"/>
          <w:color w:val="0A1F2E"/>
          <w:sz w:val="22"/>
          <w:szCs w:val="22"/>
        </w:rPr>
        <w:t xml:space="preserve">Approve: Second-line approval required. Signed with audit event.</w:t>
      </w:r>
    </w:p>
    <w:p>
      <w:pPr>
        <w:pStyle w:val="ListParagraph"/>
        <w:numPr>
          <w:ilvl w:val="0"/>
          <w:numId w:val="4"/>
        </w:numPr>
        <w:spacing w:after="60" w:before="60"/>
      </w:pPr>
      <w:r>
        <w:rPr>
          <w:rFonts w:ascii="Arial" w:cs="Arial" w:eastAsia="Arial" w:hAnsi="Arial"/>
          <w:color w:val="0A1F2E"/>
          <w:sz w:val="22"/>
          <w:szCs w:val="22"/>
        </w:rPr>
        <w:t xml:space="preserve">Active: Override pins the attribute value in the survivorship layer. Downstream consumers see mastered value, not 'override' as a separate concept.</w:t>
      </w:r>
    </w:p>
    <w:p>
      <w:pPr>
        <w:pStyle w:val="ListParagraph"/>
        <w:numPr>
          <w:ilvl w:val="0"/>
          <w:numId w:val="4"/>
        </w:numPr>
        <w:spacing w:after="60" w:before="60"/>
      </w:pPr>
      <w:r>
        <w:rPr>
          <w:rFonts w:ascii="Arial" w:cs="Arial" w:eastAsia="Arial" w:hAnsi="Arial"/>
          <w:color w:val="0A1F2E"/>
          <w:sz w:val="22"/>
          <w:szCs w:val="22"/>
        </w:rPr>
        <w:t xml:space="preserve">Expiry / Retire: Auto-retirement triggers when underlying vendor data becomes populated for the overridden field. Auto-expiry triggers on time-bounded categories.</w:t>
      </w:r>
    </w:p>
    <w:p>
      <w:pPr>
        <w:pStyle w:val="ListParagraph"/>
        <w:numPr>
          <w:ilvl w:val="0"/>
          <w:numId w:val="4"/>
        </w:numPr>
        <w:spacing w:after="60" w:before="60"/>
      </w:pPr>
      <w:r>
        <w:rPr>
          <w:rFonts w:ascii="Arial" w:cs="Arial" w:eastAsia="Arial" w:hAnsi="Arial"/>
          <w:color w:val="0A1F2E"/>
          <w:sz w:val="22"/>
          <w:szCs w:val="22"/>
        </w:rPr>
        <w:t xml:space="preserve">Archived: Immutable audit record retained indefinitely. Every transition has a corresponding audit event.</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Bitemporal Data Model</w:t>
      </w:r>
    </w:p>
    <w:p>
      <w:pPr>
        <w:spacing w:after="100" w:before="80"/>
        <w:jc w:val="left"/>
      </w:pPr>
      <w:r>
        <w:rPr>
          <w:rFonts w:ascii="Arial" w:cs="Arial" w:eastAsia="Arial" w:hAnsi="Arial"/>
          <w:b w:val="false"/>
          <w:bCs w:val="false"/>
          <w:i w:val="false"/>
          <w:iCs w:val="false"/>
          <w:color w:val="0A1F2E"/>
          <w:sz w:val="22"/>
          <w:szCs w:val="22"/>
        </w:rPr>
        <w:t xml:space="preserve">Two timelines per fact: valid time (when the fact was true in the world) and system time (when BBH recorded it). This enables regulatory restatement queries — 'what was the security's classification at 14:32 last Wednesday, and when did we update it?' — natively, without reconstruction.</w:t>
      </w:r>
    </w:p>
    <w:p>
      <w:pPr>
        <w:pBdr>
          <w:left w:val="single" w:color="1F5C6B" w:sz="12" w:space="6"/>
        </w:pBdr>
        <w:shd w:fill="D0E4E8" w:val="clear"/>
        <w:spacing w:after="120" w:before="120"/>
        <w:ind w:left="180"/>
      </w:pPr>
      <w:r>
        <w:rPr>
          <w:rFonts w:ascii="Arial" w:cs="Arial" w:eastAsia="Arial" w:hAnsi="Arial"/>
          <w:i/>
          <w:iCs/>
          <w:color w:val="0A1F2E"/>
          <w:sz w:val="22"/>
          <w:szCs w:val="22"/>
        </w:rPr>
        <w:t xml:space="preserve">Oracle schema: SMF_SECURITY (security_key, attribute_name, attribute_value, source_system, source_record_id, confidence_score, override_id, valid_from, valid_to, system_from, system_to). List-partitioned by attribute_name, range-partitioned by system_from. As-of query pattern stays under 10ms at 100M+ rows with proper partition pruning.</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Distribution Channels</w:t>
      </w:r>
    </w:p>
    <w:p>
      <w:pPr>
        <w:pStyle w:val="ListParagraph"/>
        <w:numPr>
          <w:ilvl w:val="0"/>
          <w:numId w:val="4"/>
        </w:numPr>
        <w:spacing w:after="60" w:before="60"/>
      </w:pPr>
      <w:r>
        <w:rPr>
          <w:rFonts w:ascii="Arial" w:cs="Arial" w:eastAsia="Arial" w:hAnsi="Arial"/>
          <w:b/>
          <w:bCs/>
          <w:color w:val="0A1F2E"/>
          <w:sz w:val="22"/>
          <w:szCs w:val="22"/>
        </w:rPr>
        <w:t xml:space="preserve">CDC Events (Kafka / Oracle GoldenGate):</w:t>
      </w:r>
      <w:r>
        <w:rPr>
          <w:rFonts w:ascii="Arial" w:cs="Arial" w:eastAsia="Arial" w:hAnsi="Arial"/>
          <w:color w:val="0A1F2E"/>
          <w:sz w:val="22"/>
          <w:szCs w:val="22"/>
        </w:rPr>
        <w:t xml:space="preserve"> Per-security-key partitioning for ordering guarantees. Idempotent producers, transactional consumers. Seven-day replay window. Used by SWP, IMDS, and intraday consumers.</w:t>
      </w:r>
    </w:p>
    <w:p>
      <w:pPr>
        <w:pStyle w:val="ListParagraph"/>
        <w:numPr>
          <w:ilvl w:val="0"/>
          <w:numId w:val="4"/>
        </w:numPr>
        <w:spacing w:after="60" w:before="60"/>
      </w:pPr>
      <w:r>
        <w:rPr>
          <w:rFonts w:ascii="Arial" w:cs="Arial" w:eastAsia="Arial" w:hAnsi="Arial"/>
          <w:b/>
          <w:bCs/>
          <w:color w:val="0A1F2E"/>
          <w:sz w:val="22"/>
          <w:szCs w:val="22"/>
        </w:rPr>
        <w:t xml:space="preserve">EOD Snapshots:</w:t>
      </w:r>
      <w:r>
        <w:rPr>
          <w:rFonts w:ascii="Arial" w:cs="Arial" w:eastAsia="Arial" w:hAnsi="Arial"/>
          <w:color w:val="0A1F2E"/>
          <w:sz w:val="22"/>
          <w:szCs w:val="22"/>
        </w:rPr>
        <w:t xml:space="preserve"> Full-state delta and full-state snapshot per book of business. Parquet format with manifest. Drives reconciliation and batch consumers that cannot ingest streams.</w:t>
      </w:r>
    </w:p>
    <w:p>
      <w:pPr>
        <w:pStyle w:val="ListParagraph"/>
        <w:numPr>
          <w:ilvl w:val="0"/>
          <w:numId w:val="4"/>
        </w:numPr>
        <w:spacing w:after="60" w:before="60"/>
      </w:pPr>
      <w:r>
        <w:rPr>
          <w:rFonts w:ascii="Arial" w:cs="Arial" w:eastAsia="Arial" w:hAnsi="Arial"/>
          <w:b/>
          <w:bCs/>
          <w:color w:val="0A1F2E"/>
          <w:sz w:val="22"/>
          <w:szCs w:val="22"/>
        </w:rPr>
        <w:t xml:space="preserve">Reference API:</w:t>
      </w:r>
      <w:r>
        <w:rPr>
          <w:rFonts w:ascii="Arial" w:cs="Arial" w:eastAsia="Arial" w:hAnsi="Arial"/>
          <w:color w:val="0A1F2E"/>
          <w:sz w:val="22"/>
          <w:szCs w:val="22"/>
        </w:rPr>
        <w:t xml:space="preserve"> Synchronous REST service with bitemporal as-of parameters. Used by SWP at posting time and by ad-hoc consumers. Deployed on OpenShift with horizontal autoscaling.</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Technology Stack Mapped to BBH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Layer / Function</w:t>
            </w:r>
          </w:p>
        </w:tc>
        <w:tc>
          <w:tcPr>
            <w:tcW w:type="dxa" w:w="36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96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Status at BBH</w:t>
            </w:r>
          </w:p>
        </w:tc>
      </w:tr>
      <w:tr>
        <w:tc>
          <w:tcPr>
            <w:tcW w:type="dxa" w:w="28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Mastering store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Oracle (partitioned, bitemporal)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20"/>
                <w:szCs w:val="20"/>
              </w:rPr>
              <w:t xml:space="preserve">Existing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Pipeline orchestration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Airflow 3.x on OpenShift, KubernetesExecutor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20"/>
                <w:szCs w:val="20"/>
              </w:rPr>
              <w:t xml:space="preserve">Existing</w:t>
            </w:r>
          </w:p>
        </w:tc>
      </w:tr>
      <w:tr>
        <w:tc>
          <w:tcPr>
            <w:tcW w:type="dxa" w:w="28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Transformations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dbt-oracle, Bronze/Silver/Gold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20"/>
                <w:szCs w:val="20"/>
              </w:rPr>
              <w:t xml:space="preserve">Existing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Match / survive engine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Custom Python services + dbt models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38"/>
                <w:sz w:val="20"/>
                <w:szCs w:val="20"/>
              </w:rPr>
              <w:t xml:space="preserve">Build</w:t>
            </w:r>
          </w:p>
        </w:tc>
      </w:tr>
      <w:tr>
        <w:tc>
          <w:tcPr>
            <w:tcW w:type="dxa" w:w="28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Override UI / steward console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Internal web app (React) + APIs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38"/>
                <w:sz w:val="20"/>
                <w:szCs w:val="20"/>
              </w:rPr>
              <w:t xml:space="preserve">Build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CDC distribution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Kafka or Oracle GoldenGate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A961"/>
                <w:sz w:val="20"/>
                <w:szCs w:val="20"/>
              </w:rPr>
              <w:t xml:space="preserve">Evaluate</w:t>
            </w:r>
          </w:p>
        </w:tc>
      </w:tr>
      <w:tr>
        <w:tc>
          <w:tcPr>
            <w:tcW w:type="dxa" w:w="28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Data lineage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OpenLineage + Marquez (or DataHub)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A961"/>
                <w:sz w:val="20"/>
                <w:szCs w:val="20"/>
              </w:rPr>
              <w:t xml:space="preserve">In ARB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Observability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Splunk + custom DQ dashboards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20"/>
                <w:szCs w:val="20"/>
              </w:rPr>
              <w:t xml:space="preserve">Existing</w:t>
            </w:r>
          </w:p>
        </w:tc>
      </w:tr>
    </w:tbl>
    <w:p>
      <w:pPr>
        <w:spacing w:after="0" w:before="0"/>
      </w:pPr>
      <w:r>
        <w:br w:type="page"/>
      </w:r>
    </w:p>
    <w:p>
      <w:pPr>
        <w:pStyle w:val="Heading1"/>
        <w:pBdr>
          <w:bottom w:val="single" w:color="1F5C6B" w:sz="4" w:space="6"/>
        </w:pBdr>
        <w:spacing w:after="180" w:before="360"/>
      </w:pPr>
      <w:r>
        <w:rPr>
          <w:rFonts w:ascii="Arial" w:cs="Arial" w:eastAsia="Arial" w:hAnsi="Arial"/>
          <w:b/>
          <w:bCs/>
          <w:color w:val="0A1F2E"/>
          <w:sz w:val="32"/>
          <w:szCs w:val="32"/>
        </w:rPr>
        <w:t xml:space="preserve">Chapter 5: Industry-Standard Enterprise MDM Design</w:t>
      </w:r>
    </w:p>
    <w:p>
      <w:pPr>
        <w:pStyle w:val="Heading2"/>
        <w:spacing w:after="120" w:before="300"/>
      </w:pPr>
      <w:r>
        <w:rPr>
          <w:rFonts w:ascii="Arial" w:cs="Arial" w:eastAsia="Arial" w:hAnsi="Arial"/>
          <w:b/>
          <w:bCs/>
          <w:color w:val="1F5C6B"/>
          <w:sz w:val="26"/>
          <w:szCs w:val="26"/>
        </w:rPr>
        <w:t xml:space="preserve">The Five MDM Domains Every Enterprise Deals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Domain</w:t>
            </w:r>
          </w:p>
        </w:tc>
        <w:tc>
          <w:tcPr>
            <w:tcW w:type="dxa" w:w="42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What It Masters</w:t>
            </w:r>
          </w:p>
        </w:tc>
        <w:tc>
          <w:tcPr>
            <w:tcW w:type="dxa" w:w="276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Typical Owner</w:t>
            </w:r>
          </w:p>
        </w:tc>
      </w:tr>
      <w:tr>
        <w:tc>
          <w:tcPr>
            <w:tcW w:type="dxa" w:w="24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Party / Customer / Client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Individuals, legal entities, households, beneficial owners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Front office + KYC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Product / Instrument / SMF</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Tradeable instruments, products, classifications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Product control / Ref data ops</w:t>
            </w:r>
          </w:p>
        </w:tc>
      </w:tr>
      <w:tr>
        <w:tc>
          <w:tcPr>
            <w:tcW w:type="dxa" w:w="24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Account / Contract / Position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Relationships between party and product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Location / Asset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Physical and legal locations, org hierarchy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Corporate / Compliance</w:t>
            </w:r>
          </w:p>
        </w:tc>
      </w:tr>
      <w:tr>
        <w:tc>
          <w:tcPr>
            <w:tcW w:type="dxa" w:w="24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Reference / Code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Currency codes, country codes, taxonomies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Data governance</w:t>
            </w:r>
          </w:p>
        </w:tc>
      </w:tr>
    </w:tbl>
    <w:p>
      <w:pPr>
        <w:spacing w:after="60" w:before="60"/>
      </w:pPr>
      <w:r>
        <w:t xml:space="preserve"/>
      </w:r>
    </w:p>
    <w:p>
      <w:pPr>
        <w:pStyle w:val="Heading2"/>
        <w:spacing w:after="120" w:before="300"/>
      </w:pPr>
      <w:r>
        <w:rPr>
          <w:rFonts w:ascii="Arial" w:cs="Arial" w:eastAsia="Arial" w:hAnsi="Arial"/>
          <w:b/>
          <w:bCs/>
          <w:color w:val="1F5C6B"/>
          <w:sz w:val="26"/>
          <w:szCs w:val="26"/>
        </w:rPr>
        <w:t xml:space="preserve">The Four MDM Implementation Styles</w:t>
      </w:r>
    </w:p>
    <w:p>
      <w:pPr>
        <w:pStyle w:val="ListParagraph"/>
        <w:numPr>
          <w:ilvl w:val="0"/>
          <w:numId w:val="4"/>
        </w:numPr>
        <w:spacing w:after="60" w:before="60"/>
      </w:pPr>
      <w:r>
        <w:rPr>
          <w:rFonts w:ascii="Arial" w:cs="Arial" w:eastAsia="Arial" w:hAnsi="Arial"/>
          <w:b/>
          <w:bCs/>
          <w:color w:val="0A1F2E"/>
          <w:sz w:val="22"/>
          <w:szCs w:val="22"/>
        </w:rPr>
        <w:t xml:space="preserve">Style A — Registry (read-only index):</w:t>
      </w:r>
      <w:r>
        <w:rPr>
          <w:rFonts w:ascii="Arial" w:cs="Arial" w:eastAsia="Arial" w:hAnsi="Arial"/>
          <w:color w:val="0A1F2E"/>
          <w:sz w:val="22"/>
          <w:szCs w:val="22"/>
        </w:rPr>
        <w:t xml:space="preserve"> A thin layer pointing to records in source systems. Source systems remain authoritative. Use when: sources are sovereign, low-write workload, primary need is identity resolution.</w:t>
      </w:r>
    </w:p>
    <w:p>
      <w:pPr>
        <w:pStyle w:val="ListParagraph"/>
        <w:numPr>
          <w:ilvl w:val="0"/>
          <w:numId w:val="4"/>
        </w:numPr>
        <w:spacing w:after="60" w:before="60"/>
      </w:pPr>
      <w:r>
        <w:rPr>
          <w:rFonts w:ascii="Arial" w:cs="Arial" w:eastAsia="Arial" w:hAnsi="Arial"/>
          <w:b/>
          <w:bCs/>
          <w:color w:val="0A1F2E"/>
          <w:sz w:val="22"/>
          <w:szCs w:val="22"/>
        </w:rPr>
        <w:t xml:space="preserve">Style B — Consolidation (read-only golden record):</w:t>
      </w:r>
      <w:r>
        <w:rPr>
          <w:rFonts w:ascii="Arial" w:cs="Arial" w:eastAsia="Arial" w:hAnsi="Arial"/>
          <w:color w:val="0A1F2E"/>
          <w:sz w:val="22"/>
          <w:szCs w:val="22"/>
        </w:rPr>
        <w:t xml:space="preserve"> Pulls from sources, masters, publishes. Sources stay authoritative for transactions; MDM is authoritative for canonical view. Most common starting style.</w:t>
      </w:r>
    </w:p>
    <w:p>
      <w:pPr>
        <w:pStyle w:val="ListParagraph"/>
        <w:numPr>
          <w:ilvl w:val="0"/>
          <w:numId w:val="4"/>
        </w:numPr>
        <w:spacing w:after="60" w:before="60"/>
      </w:pPr>
      <w:r>
        <w:rPr>
          <w:rFonts w:ascii="Arial" w:cs="Arial" w:eastAsia="Arial" w:hAnsi="Arial"/>
          <w:b/>
          <w:bCs/>
          <w:color w:val="0A1F2E"/>
          <w:sz w:val="22"/>
          <w:szCs w:val="22"/>
        </w:rPr>
        <w:t xml:space="preserve">Style C — Coexistence (bidirectional):</w:t>
      </w:r>
      <w:r>
        <w:rPr>
          <w:rFonts w:ascii="Arial" w:cs="Arial" w:eastAsia="Arial" w:hAnsi="Arial"/>
          <w:color w:val="0A1F2E"/>
          <w:sz w:val="22"/>
          <w:szCs w:val="22"/>
        </w:rPr>
        <w:t xml:space="preserve"> MDM masters and pushes corrections back to sources. Use when: you need golden record AND operational systems need to consume it. Target state for BBH SMF.</w:t>
      </w:r>
    </w:p>
    <w:p>
      <w:pPr>
        <w:pStyle w:val="ListParagraph"/>
        <w:numPr>
          <w:ilvl w:val="0"/>
          <w:numId w:val="4"/>
        </w:numPr>
        <w:spacing w:after="60" w:before="60"/>
      </w:pPr>
      <w:r>
        <w:rPr>
          <w:rFonts w:ascii="Arial" w:cs="Arial" w:eastAsia="Arial" w:hAnsi="Arial"/>
          <w:b/>
          <w:bCs/>
          <w:color w:val="0A1F2E"/>
          <w:sz w:val="22"/>
          <w:szCs w:val="22"/>
        </w:rPr>
        <w:t xml:space="preserve">Style D — Centralized / Transactional (system of record):</w:t>
      </w:r>
      <w:r>
        <w:rPr>
          <w:rFonts w:ascii="Arial" w:cs="Arial" w:eastAsia="Arial" w:hAnsi="Arial"/>
          <w:color w:val="0A1F2E"/>
          <w:sz w:val="22"/>
          <w:szCs w:val="22"/>
        </w:rPr>
        <w:t xml:space="preserve"> MDM is the system of record. All other systems consume from it. Use when: greenfield, full org buy-in. Recommended for the Reference/Code domain only.</w:t>
      </w:r>
    </w:p>
    <w:p>
      <w:pPr>
        <w:pBdr>
          <w:left w:val="single" w:color="1F5C6B" w:sz="12" w:space="6"/>
        </w:pBdr>
        <w:shd w:fill="D0E4E8" w:val="clear"/>
        <w:spacing w:after="120" w:before="120"/>
        <w:ind w:left="180"/>
      </w:pPr>
      <w:r>
        <w:rPr>
          <w:rFonts w:ascii="Arial" w:cs="Arial" w:eastAsia="Arial" w:hAnsi="Arial"/>
          <w:i/>
          <w:iCs/>
          <w:color w:val="0A1F2E"/>
          <w:sz w:val="22"/>
          <w:szCs w:val="22"/>
        </w:rPr>
        <w:t xml:space="preserve">BBH recommendation: Style B (Consolidation) evolving to Style C (Coexistence) over 24-36 months for the SMF domain. This is the pattern 70% of successful enterprise MDM programs follow.</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The Cross-Domain Identity Graph</w:t>
      </w:r>
    </w:p>
    <w:p>
      <w:pPr>
        <w:spacing w:after="100" w:before="80"/>
        <w:jc w:val="left"/>
      </w:pPr>
      <w:r>
        <w:rPr>
          <w:rFonts w:ascii="Arial" w:cs="Arial" w:eastAsia="Arial" w:hAnsi="Arial"/>
          <w:b w:val="false"/>
          <w:bCs w:val="false"/>
          <w:i w:val="false"/>
          <w:iCs w:val="false"/>
          <w:color w:val="0A1F2E"/>
          <w:sz w:val="22"/>
          <w:szCs w:val="22"/>
        </w:rPr>
        <w:t xml:space="preserve">Once SMF, Party, and Account are mastered separately, the value multiplier is the graph linking them. It models:</w:t>
      </w:r>
    </w:p>
    <w:p>
      <w:pPr>
        <w:pStyle w:val="ListParagraph"/>
        <w:numPr>
          <w:ilvl w:val="0"/>
          <w:numId w:val="4"/>
        </w:numPr>
        <w:spacing w:after="60" w:before="60"/>
      </w:pPr>
      <w:r>
        <w:rPr>
          <w:rFonts w:ascii="Arial" w:cs="Arial" w:eastAsia="Arial" w:hAnsi="Arial"/>
          <w:color w:val="0A1F2E"/>
          <w:sz w:val="22"/>
          <w:szCs w:val="22"/>
        </w:rPr>
        <w:t xml:space="preserve">Party-to-Party: household, employer, beneficial owner, advisor</w:t>
      </w:r>
    </w:p>
    <w:p>
      <w:pPr>
        <w:pStyle w:val="ListParagraph"/>
        <w:numPr>
          <w:ilvl w:val="0"/>
          <w:numId w:val="4"/>
        </w:numPr>
        <w:spacing w:after="60" w:before="60"/>
      </w:pPr>
      <w:r>
        <w:rPr>
          <w:rFonts w:ascii="Arial" w:cs="Arial" w:eastAsia="Arial" w:hAnsi="Arial"/>
          <w:color w:val="0A1F2E"/>
          <w:sz w:val="22"/>
          <w:szCs w:val="22"/>
        </w:rPr>
        <w:t xml:space="preserve">Party-to-Account: ownership, authorized user, advisor of record</w:t>
      </w:r>
    </w:p>
    <w:p>
      <w:pPr>
        <w:pStyle w:val="ListParagraph"/>
        <w:numPr>
          <w:ilvl w:val="0"/>
          <w:numId w:val="4"/>
        </w:numPr>
        <w:spacing w:after="60" w:before="60"/>
      </w:pPr>
      <w:r>
        <w:rPr>
          <w:rFonts w:ascii="Arial" w:cs="Arial" w:eastAsia="Arial" w:hAnsi="Arial"/>
          <w:color w:val="0A1F2E"/>
          <w:sz w:val="22"/>
          <w:szCs w:val="22"/>
        </w:rPr>
        <w:t xml:space="preserve">Account-to-Product: position, holding, custody arrangement</w:t>
      </w:r>
    </w:p>
    <w:p>
      <w:pPr>
        <w:pStyle w:val="ListParagraph"/>
        <w:numPr>
          <w:ilvl w:val="0"/>
          <w:numId w:val="4"/>
        </w:numPr>
        <w:spacing w:after="60" w:before="60"/>
      </w:pPr>
      <w:r>
        <w:rPr>
          <w:rFonts w:ascii="Arial" w:cs="Arial" w:eastAsia="Arial" w:hAnsi="Arial"/>
          <w:color w:val="0A1F2E"/>
          <w:sz w:val="22"/>
          <w:szCs w:val="22"/>
        </w:rPr>
        <w:t xml:space="preserve">Product-to-Product: issuer hierarchy, underlying, derivative-of</w:t>
      </w:r>
    </w:p>
    <w:p>
      <w:pPr>
        <w:pStyle w:val="ListParagraph"/>
        <w:numPr>
          <w:ilvl w:val="0"/>
          <w:numId w:val="4"/>
        </w:numPr>
        <w:spacing w:after="60" w:before="60"/>
      </w:pPr>
      <w:r>
        <w:rPr>
          <w:rFonts w:ascii="Arial" w:cs="Arial" w:eastAsia="Arial" w:hAnsi="Arial"/>
          <w:color w:val="0A1F2E"/>
          <w:sz w:val="22"/>
          <w:szCs w:val="22"/>
        </w:rPr>
        <w:t xml:space="preserve">Party-to-Product: issuer-of, employee-of-issuer (restricted lists)</w:t>
      </w:r>
    </w:p>
    <w:p>
      <w:pPr>
        <w:spacing w:after="100" w:before="80"/>
        <w:jc w:val="left"/>
      </w:pPr>
      <w:r>
        <w:rPr>
          <w:rFonts w:ascii="Arial" w:cs="Arial" w:eastAsia="Arial" w:hAnsi="Arial"/>
          <w:b w:val="false"/>
          <w:bCs w:val="false"/>
          <w:i w:val="false"/>
          <w:iCs w:val="false"/>
          <w:color w:val="0A1F2E"/>
          <w:sz w:val="22"/>
          <w:szCs w:val="22"/>
        </w:rPr>
        <w:t xml:space="preserve">Implementation: relational adjacency tables in Oracle for the 80% solution (Years 1-3); property graph (Neo4j or Neptune) for traversal-heavy queries in Years 4-5.</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Data Quality — The Six DAMA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42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Question</w:t>
            </w:r>
          </w:p>
        </w:tc>
        <w:tc>
          <w:tcPr>
            <w:tcW w:type="dxa" w:w="336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Typical Metric</w:t>
            </w:r>
          </w:p>
        </w:tc>
      </w:tr>
      <w:tr>
        <w:tc>
          <w:tcPr>
            <w:tcW w:type="dxa" w:w="18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Completeness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Are required fields populated?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 non-null per critical field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Accuracy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Does the value match reality?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 matching authoritative source</w:t>
            </w:r>
          </w:p>
        </w:tc>
      </w:tr>
      <w:tr>
        <w:tc>
          <w:tcPr>
            <w:tcW w:type="dxa" w:w="18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Timeliness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Is data current enough?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Latency from source event to mastered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Validity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Does the value conform to format?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 passing schema rules</w:t>
            </w:r>
          </w:p>
        </w:tc>
      </w:tr>
      <w:tr>
        <w:tc>
          <w:tcPr>
            <w:tcW w:type="dxa" w:w="18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Uniqueness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Is each entity represented once?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Duplicate rate per domain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Consistency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Do related values agree?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Cross-field rule pass rate</w:t>
            </w:r>
          </w:p>
        </w:tc>
      </w:tr>
    </w:tbl>
    <w:p>
      <w:pPr>
        <w:spacing w:after="60" w:before="60"/>
      </w:pPr>
      <w:r>
        <w:t xml:space="preserve"/>
      </w:r>
    </w:p>
    <w:p>
      <w:pPr>
        <w:pStyle w:val="Heading2"/>
        <w:spacing w:after="120" w:before="300"/>
      </w:pPr>
      <w:r>
        <w:rPr>
          <w:rFonts w:ascii="Arial" w:cs="Arial" w:eastAsia="Arial" w:hAnsi="Arial"/>
          <w:b/>
          <w:bCs/>
          <w:color w:val="1F5C6B"/>
          <w:sz w:val="26"/>
          <w:szCs w:val="26"/>
        </w:rPr>
        <w:t xml:space="preserve">Five-Year Multi-Domain Roadmap for BBH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960"/>
      </w:tblGrid>
      <w:tr>
        <w:tc>
          <w:tcPr>
            <w:tcW w:type="dxa" w:w="14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Year</w:t>
            </w:r>
          </w:p>
        </w:tc>
        <w:tc>
          <w:tcPr>
            <w:tcW w:type="dxa" w:w="20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Domain</w:t>
            </w:r>
          </w:p>
        </w:tc>
        <w:tc>
          <w:tcPr>
            <w:tcW w:type="dxa" w:w="20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Style</w:t>
            </w:r>
          </w:p>
        </w:tc>
        <w:tc>
          <w:tcPr>
            <w:tcW w:type="dxa" w:w="396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Outcome</w:t>
            </w:r>
          </w:p>
        </w:tc>
      </w:tr>
      <w:tr>
        <w:tc>
          <w:tcPr>
            <w:tcW w:type="dxa" w:w="14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1F5C6B"/>
                <w:sz w:val="20"/>
                <w:szCs w:val="20"/>
              </w:rPr>
              <w:t xml:space="preserve">Y1-2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SMF / Instrument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B → 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CP Golden Source as SoR for all instruments across PB and IM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Y2-3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Party / Client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Single client view across PB and IM LOBs</w:t>
            </w:r>
          </w:p>
        </w:tc>
      </w:tr>
      <w:tr>
        <w:tc>
          <w:tcPr>
            <w:tcW w:type="dxa" w:w="14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1F5C6B"/>
                <w:sz w:val="20"/>
                <w:szCs w:val="20"/>
              </w:rPr>
              <w:t xml:space="preserve">Y3-4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Account / UAF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Single account view, leveraging SMF and Party as foundations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Y4-5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Identity Graph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Cross-domain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Regulatory and analytical queries unified across all four domains</w:t>
            </w:r>
          </w:p>
        </w:tc>
      </w:tr>
    </w:tbl>
    <w:p>
      <w:pPr>
        <w:spacing w:after="0" w:before="0"/>
      </w:pPr>
      <w:r>
        <w:br w:type="page"/>
      </w:r>
    </w:p>
    <w:p>
      <w:pPr>
        <w:pStyle w:val="Heading1"/>
        <w:pBdr>
          <w:bottom w:val="single" w:color="1F5C6B" w:sz="4" w:space="6"/>
        </w:pBdr>
        <w:spacing w:after="180" w:before="360"/>
      </w:pPr>
      <w:r>
        <w:rPr>
          <w:rFonts w:ascii="Arial" w:cs="Arial" w:eastAsia="Arial" w:hAnsi="Arial"/>
          <w:b/>
          <w:bCs/>
          <w:color w:val="0A1F2E"/>
          <w:sz w:val="32"/>
          <w:szCs w:val="32"/>
        </w:rPr>
        <w:t xml:space="preserve">Chapter 6: GoldenSource as Bought MDM — Implementation Detail</w:t>
      </w:r>
    </w:p>
    <w:p>
      <w:pPr>
        <w:pStyle w:val="Heading2"/>
        <w:spacing w:after="120" w:before="300"/>
      </w:pPr>
      <w:r>
        <w:rPr>
          <w:rFonts w:ascii="Arial" w:cs="Arial" w:eastAsia="Arial" w:hAnsi="Arial"/>
          <w:b/>
          <w:bCs/>
          <w:color w:val="1F5C6B"/>
          <w:sz w:val="26"/>
          <w:szCs w:val="26"/>
        </w:rPr>
        <w:t xml:space="preserve">What You Actually Get</w:t>
      </w:r>
    </w:p>
    <w:p>
      <w:pPr>
        <w:spacing w:after="100" w:before="80"/>
        <w:jc w:val="left"/>
      </w:pPr>
      <w:r>
        <w:rPr>
          <w:rFonts w:ascii="Arial" w:cs="Arial" w:eastAsia="Arial" w:hAnsi="Arial"/>
          <w:b w:val="false"/>
          <w:bCs w:val="false"/>
          <w:i w:val="false"/>
          <w:iCs w:val="false"/>
          <w:color w:val="0A1F2E"/>
          <w:sz w:val="22"/>
          <w:szCs w:val="22"/>
        </w:rPr>
        <w:t xml:space="preserve">GoldenSource EDM/MDM (Securities, Customer &amp; Counterparty, Pricing &amp; Valuations, Corporate Actions, Connections modules) provides:</w:t>
      </w:r>
    </w:p>
    <w:p>
      <w:pPr>
        <w:pStyle w:val="ListParagraph"/>
        <w:numPr>
          <w:ilvl w:val="0"/>
          <w:numId w:val="4"/>
        </w:numPr>
        <w:spacing w:after="60" w:before="60"/>
      </w:pPr>
      <w:r>
        <w:rPr>
          <w:rFonts w:ascii="Arial" w:cs="Arial" w:eastAsia="Arial" w:hAnsi="Arial"/>
          <w:b/>
          <w:bCs/>
          <w:color w:val="0A1F2E"/>
          <w:sz w:val="22"/>
          <w:szCs w:val="22"/>
        </w:rPr>
        <w:t xml:space="preserve">Pre-built data model:</w:t>
      </w:r>
      <w:r>
        <w:rPr>
          <w:rFonts w:ascii="Arial" w:cs="Arial" w:eastAsia="Arial" w:hAnsi="Arial"/>
          <w:color w:val="0A1F2E"/>
          <w:sz w:val="22"/>
          <w:szCs w:val="22"/>
        </w:rPr>
        <w:t xml:space="preserve"> Financial-services canonical schema for instruments, counterparties, prices, classifications. Battle-tested across custodians and asset managers. Estimated 60-70% fit for BBH; 30-40% extension via configuration.</w:t>
      </w:r>
    </w:p>
    <w:p>
      <w:pPr>
        <w:pStyle w:val="ListParagraph"/>
        <w:numPr>
          <w:ilvl w:val="0"/>
          <w:numId w:val="4"/>
        </w:numPr>
        <w:spacing w:after="60" w:before="60"/>
      </w:pPr>
      <w:r>
        <w:rPr>
          <w:rFonts w:ascii="Arial" w:cs="Arial" w:eastAsia="Arial" w:hAnsi="Arial"/>
          <w:b/>
          <w:bCs/>
          <w:color w:val="0A1F2E"/>
          <w:sz w:val="22"/>
          <w:szCs w:val="22"/>
        </w:rPr>
        <w:t xml:space="preserve">Mastering engine:</w:t>
      </w:r>
      <w:r>
        <w:rPr>
          <w:rFonts w:ascii="Arial" w:cs="Arial" w:eastAsia="Arial" w:hAnsi="Arial"/>
          <w:color w:val="0A1F2E"/>
          <w:sz w:val="22"/>
          <w:szCs w:val="22"/>
        </w:rPr>
        <w:t xml:space="preserve"> Out-of-the-box match, merge, survive, override. Configurable rather than custom-coded.</w:t>
      </w:r>
    </w:p>
    <w:p>
      <w:pPr>
        <w:pStyle w:val="ListParagraph"/>
        <w:numPr>
          <w:ilvl w:val="0"/>
          <w:numId w:val="4"/>
        </w:numPr>
        <w:spacing w:after="60" w:before="60"/>
      </w:pPr>
      <w:r>
        <w:rPr>
          <w:rFonts w:ascii="Arial" w:cs="Arial" w:eastAsia="Arial" w:hAnsi="Arial"/>
          <w:b/>
          <w:bCs/>
          <w:color w:val="0A1F2E"/>
          <w:sz w:val="22"/>
          <w:szCs w:val="22"/>
        </w:rPr>
        <w:t xml:space="preserve">Vendor feed connectors:</w:t>
      </w:r>
      <w:r>
        <w:rPr>
          <w:rFonts w:ascii="Arial" w:cs="Arial" w:eastAsia="Arial" w:hAnsi="Arial"/>
          <w:color w:val="0A1F2E"/>
          <w:sz w:val="22"/>
          <w:szCs w:val="22"/>
        </w:rPr>
        <w:t xml:space="preserve"> Pre-built loaders and parsers for IDC, Bloomberg, Refinitiv, Markit, ICE, RIMES, S&amp;P, MSCI, FTSE. This is the strongest reason to buy — each connector takes 6-12 months to build correctly from scratch.</w:t>
      </w:r>
    </w:p>
    <w:p>
      <w:pPr>
        <w:pStyle w:val="ListParagraph"/>
        <w:numPr>
          <w:ilvl w:val="0"/>
          <w:numId w:val="4"/>
        </w:numPr>
        <w:spacing w:after="60" w:before="60"/>
      </w:pPr>
      <w:r>
        <w:rPr>
          <w:rFonts w:ascii="Arial" w:cs="Arial" w:eastAsia="Arial" w:hAnsi="Arial"/>
          <w:b/>
          <w:bCs/>
          <w:color w:val="0A1F2E"/>
          <w:sz w:val="22"/>
          <w:szCs w:val="22"/>
        </w:rPr>
        <w:t xml:space="preserve">Steward console:</w:t>
      </w:r>
      <w:r>
        <w:rPr>
          <w:rFonts w:ascii="Arial" w:cs="Arial" w:eastAsia="Arial" w:hAnsi="Arial"/>
          <w:color w:val="0A1F2E"/>
          <w:sz w:val="22"/>
          <w:szCs w:val="22"/>
        </w:rPr>
        <w:t xml:space="preserve"> Built-in exception queues, approval workflows, audit logs, dashboards. BBH-specific workflows added as configuration.</w:t>
      </w:r>
    </w:p>
    <w:p>
      <w:pPr>
        <w:pStyle w:val="ListParagraph"/>
        <w:numPr>
          <w:ilvl w:val="0"/>
          <w:numId w:val="4"/>
        </w:numPr>
        <w:spacing w:after="60" w:before="60"/>
      </w:pPr>
      <w:r>
        <w:rPr>
          <w:rFonts w:ascii="Arial" w:cs="Arial" w:eastAsia="Arial" w:hAnsi="Arial"/>
          <w:b/>
          <w:bCs/>
          <w:color w:val="0A1F2E"/>
          <w:sz w:val="22"/>
          <w:szCs w:val="22"/>
        </w:rPr>
        <w:t xml:space="preserve">Bitemporal history:</w:t>
      </w:r>
      <w:r>
        <w:rPr>
          <w:rFonts w:ascii="Arial" w:cs="Arial" w:eastAsia="Arial" w:hAnsi="Arial"/>
          <w:color w:val="0A1F2E"/>
          <w:sz w:val="22"/>
          <w:szCs w:val="22"/>
        </w:rPr>
        <w:t xml:space="preserve"> Native valid-time and system-time. As-of regulatory restatement is built in, not constructed.</w:t>
      </w:r>
    </w:p>
    <w:p>
      <w:pPr>
        <w:pStyle w:val="ListParagraph"/>
        <w:numPr>
          <w:ilvl w:val="0"/>
          <w:numId w:val="4"/>
        </w:numPr>
        <w:spacing w:after="60" w:before="60"/>
      </w:pPr>
      <w:r>
        <w:rPr>
          <w:rFonts w:ascii="Arial" w:cs="Arial" w:eastAsia="Arial" w:hAnsi="Arial"/>
          <w:b/>
          <w:bCs/>
          <w:color w:val="0A1F2E"/>
          <w:sz w:val="22"/>
          <w:szCs w:val="22"/>
        </w:rPr>
        <w:t xml:space="preserve">Distribution connectors:</w:t>
      </w:r>
      <w:r>
        <w:rPr>
          <w:rFonts w:ascii="Arial" w:cs="Arial" w:eastAsia="Arial" w:hAnsi="Arial"/>
          <w:color w:val="0A1F2E"/>
          <w:sz w:val="22"/>
          <w:szCs w:val="22"/>
        </w:rPr>
        <w:t xml:space="preserve"> Publishing to common downstream targets, message queues, file outputs.</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What You Do NOT Get — Work That Remains BBH's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Workstream</w:t>
            </w:r>
          </w:p>
        </w:tc>
        <w:tc>
          <w:tcPr>
            <w:tcW w:type="dxa" w:w="30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Buy Reduces It By</w:t>
            </w:r>
          </w:p>
        </w:tc>
        <w:tc>
          <w:tcPr>
            <w:tcW w:type="dxa" w:w="316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Still BBH's Work</w:t>
            </w:r>
          </w:p>
        </w:tc>
      </w:tr>
      <w:tr>
        <w:tc>
          <w:tcPr>
            <w:tcW w:type="dxa" w:w="32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Mastering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~75%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Rules configuration per asset class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Bitemporal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~90%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Performance tuning at BBH volumes</w:t>
            </w:r>
          </w:p>
        </w:tc>
      </w:tr>
      <w:tr>
        <w:tc>
          <w:tcPr>
            <w:tcW w:type="dxa" w:w="32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Vendor feed loaders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~80%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Custom feeds, exception handling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Internal source adapters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~10%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Almost all of it — Addvantage, IM DWH, UAF, Inserv</w:t>
            </w:r>
          </w:p>
        </w:tc>
      </w:tr>
      <w:tr>
        <w:tc>
          <w:tcPr>
            <w:tcW w:type="dxa" w:w="32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Canonical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~50%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BBH-specific extensions (est. 20-40% of attributes)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Steward console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~70%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BBH workflows, SSO, Splunk integration</w:t>
            </w:r>
          </w:p>
        </w:tc>
      </w:tr>
      <w:tr>
        <w:tc>
          <w:tcPr>
            <w:tcW w:type="dxa" w:w="32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Consumer migration (~1,000)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~30%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Contracts, compatibility layer, dbt canonical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Operating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85C38"/>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85C38"/>
                <w:sz w:val="20"/>
                <w:szCs w:val="20"/>
              </w:rPr>
              <w:t xml:space="preserve">All of it</w:t>
            </w:r>
          </w:p>
        </w:tc>
      </w:tr>
      <w:tr>
        <w:tc>
          <w:tcPr>
            <w:tcW w:type="dxa" w:w="32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Governance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~20%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Most of it — catalog, lineage, DQ standards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Air-gap deployment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~30%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All operational concerns, Nexus vendoring</w:t>
            </w:r>
          </w:p>
        </w:tc>
      </w:tr>
    </w:tbl>
    <w:p>
      <w:pPr>
        <w:pBdr>
          <w:left w:val="single" w:color="B85C38" w:sz="12" w:space="6"/>
        </w:pBdr>
        <w:shd w:fill="F9ECE5" w:val="clear"/>
        <w:spacing w:after="120" w:before="120"/>
        <w:ind w:left="180"/>
      </w:pPr>
      <w:r>
        <w:rPr>
          <w:rFonts w:ascii="Arial" w:cs="Arial" w:eastAsia="Arial" w:hAnsi="Arial"/>
          <w:i/>
          <w:iCs/>
          <w:color w:val="0A1F2E"/>
          <w:sz w:val="22"/>
          <w:szCs w:val="22"/>
        </w:rPr>
        <w:t xml:space="preserve">Honest math: buying GoldenSource removes roughly 50-60% of the engineering build effort but leaves virtually all of the business, integration, governance, and operating-model work untouched. Roughly 60% of program work remains BBH's responsibility.</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5-Year TCO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Cost Item</w:t>
            </w:r>
          </w:p>
        </w:tc>
        <w:tc>
          <w:tcPr>
            <w:tcW w:type="dxa" w:w="288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Buy — GoldenSource</w:t>
            </w:r>
          </w:p>
        </w:tc>
        <w:tc>
          <w:tcPr>
            <w:tcW w:type="dxa" w:w="288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Custom Build</w:t>
            </w:r>
          </w:p>
        </w:tc>
      </w:tr>
      <w:tr>
        <w:tc>
          <w:tcPr>
            <w:tcW w:type="dxa" w:w="36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Platform license (annual)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$1-3M/year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Implementation services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$2-5M front-loaded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Included in internal labor</w:t>
            </w:r>
          </w:p>
        </w:tc>
      </w:tr>
      <w:tr>
        <w:tc>
          <w:tcPr>
            <w:tcW w:type="dxa" w:w="36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Internal labor (SMF Phase 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15-20 FTE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20-30 FTE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Infrastructure (Oracle, OpenShift, Kafka)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Comparable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Comparable</w:t>
            </w:r>
          </w:p>
        </w:tc>
      </w:tr>
      <w:tr>
        <w:tc>
          <w:tcPr>
            <w:tcW w:type="dxa" w:w="3600"/>
            <w:tcBorders>
              <w:top w:val="single" w:color="CCCCCC" w:sz="1"/>
              <w:left w:val="single" w:color="CCCCCC" w:sz="1"/>
              <w:bottom w:val="single" w:color="CCCCCC" w:sz="1"/>
              <w:right w:val="single" w:color="CCCCCC" w:sz="1"/>
            </w:tcBorders>
            <w:shd w:fill="D0E4E8" w:val="clear"/>
            <w:tcMar>
              <w:top w:type="dxa" w:w="80"/>
              <w:left w:type="dxa" w:w="120"/>
              <w:bottom w:type="dxa" w:w="80"/>
              <w:right w:type="dxa" w:w="120"/>
            </w:tcMar>
          </w:tcPr>
          <w:p>
            <w:r>
              <w:rPr>
                <w:rFonts w:ascii="Arial" w:cs="Arial" w:eastAsia="Arial" w:hAnsi="Arial"/>
                <w:b/>
                <w:bCs/>
                <w:color w:val="1F5C6B"/>
                <w:sz w:val="20"/>
                <w:szCs w:val="20"/>
              </w:rPr>
              <w:t xml:space="preserve">Total 5-year estimate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C6B"/>
                <w:sz w:val="20"/>
                <w:szCs w:val="20"/>
              </w:rPr>
              <w:t xml:space="preserve">$25-40M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C6B"/>
                <w:sz w:val="20"/>
                <w:szCs w:val="20"/>
              </w:rPr>
              <w:t xml:space="preserve">$30-50M</w:t>
            </w:r>
          </w:p>
        </w:tc>
      </w:tr>
    </w:tbl>
    <w:p>
      <w:pPr>
        <w:spacing w:after="100" w:before="80"/>
        <w:jc w:val="left"/>
      </w:pPr>
      <w:r>
        <w:rPr>
          <w:rFonts w:ascii="Arial" w:cs="Arial" w:eastAsia="Arial" w:hAnsi="Arial"/>
          <w:b w:val="false"/>
          <w:bCs w:val="false"/>
          <w:i w:val="false"/>
          <w:iCs w:val="false"/>
          <w:color w:val="0A1F2E"/>
          <w:sz w:val="22"/>
          <w:szCs w:val="22"/>
        </w:rPr>
        <w:t xml:space="preserve">The two options are closer than vendors or build advocates claim. The decision usually comes down to non-cost factors: speed to value, internal engineering capacity, vendor lock-in tolerance, regulatory comfort with vendor vs. internal accountability, and optionality on data model evolution.</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GoldenSource-Specific Risks</w:t>
      </w:r>
    </w:p>
    <w:p>
      <w:pPr>
        <w:pStyle w:val="ListParagraph"/>
        <w:numPr>
          <w:ilvl w:val="0"/>
          <w:numId w:val="4"/>
        </w:numPr>
        <w:spacing w:after="60" w:before="60"/>
      </w:pPr>
      <w:r>
        <w:rPr>
          <w:rFonts w:ascii="Arial" w:cs="Arial" w:eastAsia="Arial" w:hAnsi="Arial"/>
          <w:b/>
          <w:bCs/>
          <w:color w:val="0A1F2E"/>
          <w:sz w:val="22"/>
          <w:szCs w:val="22"/>
        </w:rPr>
        <w:t xml:space="preserve">Vendor lock-in:</w:t>
      </w:r>
      <w:r>
        <w:rPr>
          <w:rFonts w:ascii="Arial" w:cs="Arial" w:eastAsia="Arial" w:hAnsi="Arial"/>
          <w:color w:val="0A1F2E"/>
          <w:sz w:val="22"/>
          <w:szCs w:val="22"/>
        </w:rPr>
        <w:t xml:space="preserve"> The canonical model becomes shaped by GoldenSource's data model. Migrating off in year ten is hard. Mitigate by ensuring consumers code against the BBH-owned contract, not GoldenSource's schema directly.</w:t>
      </w:r>
    </w:p>
    <w:p>
      <w:pPr>
        <w:pStyle w:val="ListParagraph"/>
        <w:numPr>
          <w:ilvl w:val="0"/>
          <w:numId w:val="4"/>
        </w:numPr>
        <w:spacing w:after="60" w:before="60"/>
      </w:pPr>
      <w:r>
        <w:rPr>
          <w:rFonts w:ascii="Arial" w:cs="Arial" w:eastAsia="Arial" w:hAnsi="Arial"/>
          <w:b/>
          <w:bCs/>
          <w:color w:val="0A1F2E"/>
          <w:sz w:val="22"/>
          <w:szCs w:val="22"/>
        </w:rPr>
        <w:t xml:space="preserve">Air-gap upgrade friction:</w:t>
      </w:r>
      <w:r>
        <w:rPr>
          <w:rFonts w:ascii="Arial" w:cs="Arial" w:eastAsia="Arial" w:hAnsi="Arial"/>
          <w:color w:val="0A1F2E"/>
          <w:sz w:val="22"/>
          <w:szCs w:val="22"/>
        </w:rPr>
        <w:t xml:space="preserve"> Cloud-deployed customers upgrade in days; air-gapped customers upgrade in weeks to months. Plan for slower release cadence.</w:t>
      </w:r>
    </w:p>
    <w:p>
      <w:pPr>
        <w:pStyle w:val="ListParagraph"/>
        <w:numPr>
          <w:ilvl w:val="0"/>
          <w:numId w:val="4"/>
        </w:numPr>
        <w:spacing w:after="60" w:before="60"/>
      </w:pPr>
      <w:r>
        <w:rPr>
          <w:rFonts w:ascii="Arial" w:cs="Arial" w:eastAsia="Arial" w:hAnsi="Arial"/>
          <w:b/>
          <w:bCs/>
          <w:color w:val="0A1F2E"/>
          <w:sz w:val="22"/>
          <w:szCs w:val="22"/>
        </w:rPr>
        <w:t xml:space="preserve">Customization carry:</w:t>
      </w:r>
      <w:r>
        <w:rPr>
          <w:rFonts w:ascii="Arial" w:cs="Arial" w:eastAsia="Arial" w:hAnsi="Arial"/>
          <w:color w:val="0A1F2E"/>
          <w:sz w:val="22"/>
          <w:szCs w:val="22"/>
        </w:rPr>
        <w:t xml:space="preserve"> Every custom rule or workflow must be re-tested at every upgrade. Discipline on customization is essential.</w:t>
      </w:r>
    </w:p>
    <w:p>
      <w:pPr>
        <w:pStyle w:val="ListParagraph"/>
        <w:numPr>
          <w:ilvl w:val="0"/>
          <w:numId w:val="4"/>
        </w:numPr>
        <w:spacing w:after="60" w:before="60"/>
      </w:pPr>
      <w:r>
        <w:rPr>
          <w:rFonts w:ascii="Arial" w:cs="Arial" w:eastAsia="Arial" w:hAnsi="Arial"/>
          <w:b/>
          <w:bCs/>
          <w:color w:val="0A1F2E"/>
          <w:sz w:val="22"/>
          <w:szCs w:val="22"/>
        </w:rPr>
        <w:t xml:space="preserve">Vendor roadmap dependency:</w:t>
      </w:r>
      <w:r>
        <w:rPr>
          <w:rFonts w:ascii="Arial" w:cs="Arial" w:eastAsia="Arial" w:hAnsi="Arial"/>
          <w:color w:val="0A1F2E"/>
          <w:sz w:val="22"/>
          <w:szCs w:val="22"/>
        </w:rPr>
        <w:t xml:space="preserve"> Features the firm wants become multi-year roadmap conversations with SEI.</w:t>
      </w:r>
    </w:p>
    <w:p>
      <w:pPr>
        <w:pStyle w:val="ListParagraph"/>
        <w:numPr>
          <w:ilvl w:val="0"/>
          <w:numId w:val="4"/>
        </w:numPr>
        <w:spacing w:after="60" w:before="60"/>
      </w:pPr>
      <w:r>
        <w:rPr>
          <w:rFonts w:ascii="Arial" w:cs="Arial" w:eastAsia="Arial" w:hAnsi="Arial"/>
          <w:b/>
          <w:bCs/>
          <w:color w:val="0A1F2E"/>
          <w:sz w:val="22"/>
          <w:szCs w:val="22"/>
        </w:rPr>
        <w:t xml:space="preserve">Internal expertise atrophy:</w:t>
      </w:r>
      <w:r>
        <w:rPr>
          <w:rFonts w:ascii="Arial" w:cs="Arial" w:eastAsia="Arial" w:hAnsi="Arial"/>
          <w:color w:val="0A1F2E"/>
          <w:sz w:val="22"/>
          <w:szCs w:val="22"/>
        </w:rPr>
        <w:t xml:space="preserve"> The internal team's deep MDM expertise degrades because the platform handles it. Retain a core team that understands the data model deeply, not just configuration.</w:t>
      </w:r>
    </w:p>
    <w:p>
      <w:pPr>
        <w:pStyle w:val="ListParagraph"/>
        <w:numPr>
          <w:ilvl w:val="0"/>
          <w:numId w:val="4"/>
        </w:numPr>
        <w:spacing w:after="60" w:before="60"/>
      </w:pPr>
      <w:r>
        <w:rPr>
          <w:rFonts w:ascii="Arial" w:cs="Arial" w:eastAsia="Arial" w:hAnsi="Arial"/>
          <w:b/>
          <w:bCs/>
          <w:color w:val="0A1F2E"/>
          <w:sz w:val="22"/>
          <w:szCs w:val="22"/>
        </w:rPr>
        <w:t xml:space="preserve">ML-assisted matching gap:</w:t>
      </w:r>
      <w:r>
        <w:rPr>
          <w:rFonts w:ascii="Arial" w:cs="Arial" w:eastAsia="Arial" w:hAnsi="Arial"/>
          <w:color w:val="0A1F2E"/>
          <w:sz w:val="22"/>
          <w:szCs w:val="22"/>
        </w:rPr>
        <w:t xml:space="preserve"> The transformer-embedding work already piloted (multilingual-e5-large, Phi-3) does not directly plug into GoldenSource. If ML-assisted matching is strategic, this is a meaningful risk.</w:t>
      </w:r>
    </w:p>
    <w:p>
      <w:pPr>
        <w:spacing w:after="0" w:before="0"/>
      </w:pPr>
      <w:r>
        <w:br w:type="page"/>
      </w:r>
    </w:p>
    <w:p>
      <w:pPr>
        <w:pStyle w:val="Heading1"/>
        <w:pBdr>
          <w:bottom w:val="single" w:color="1F5C6B" w:sz="4" w:space="6"/>
        </w:pBdr>
        <w:spacing w:after="180" w:before="360"/>
      </w:pPr>
      <w:r>
        <w:rPr>
          <w:rFonts w:ascii="Arial" w:cs="Arial" w:eastAsia="Arial" w:hAnsi="Arial"/>
          <w:b/>
          <w:bCs/>
          <w:color w:val="0A1F2E"/>
          <w:sz w:val="32"/>
          <w:szCs w:val="32"/>
        </w:rPr>
        <w:t xml:space="preserve">Chapter 7: Enterprise MDM — What, How, When</w:t>
      </w:r>
    </w:p>
    <w:p>
      <w:pPr>
        <w:pStyle w:val="Heading2"/>
        <w:spacing w:after="120" w:before="300"/>
      </w:pPr>
      <w:r>
        <w:rPr>
          <w:rFonts w:ascii="Arial" w:cs="Arial" w:eastAsia="Arial" w:hAnsi="Arial"/>
          <w:b/>
          <w:bCs/>
          <w:color w:val="1F5C6B"/>
          <w:sz w:val="26"/>
          <w:szCs w:val="26"/>
        </w:rPr>
        <w:t xml:space="preserve">WHAT — The Ten Things Being Built</w:t>
      </w:r>
    </w:p>
    <w:p>
      <w:pPr>
        <w:pStyle w:val="ListParagraph"/>
        <w:numPr>
          <w:ilvl w:val="0"/>
          <w:numId w:val="7"/>
        </w:numPr>
        <w:spacing w:after="60" w:before="60"/>
      </w:pPr>
      <w:r>
        <w:rPr>
          <w:rFonts w:ascii="Arial" w:cs="Arial" w:eastAsia="Arial" w:hAnsi="Arial"/>
          <w:b/>
          <w:bCs/>
          <w:color w:val="0A1F2E"/>
          <w:sz w:val="22"/>
          <w:szCs w:val="22"/>
        </w:rPr>
        <w:t xml:space="preserve">The end-state capability:</w:t>
      </w:r>
      <w:r>
        <w:rPr>
          <w:rFonts w:ascii="Arial" w:cs="Arial" w:eastAsia="Arial" w:hAnsi="Arial"/>
          <w:color w:val="0A1F2E"/>
          <w:sz w:val="22"/>
          <w:szCs w:val="22"/>
        </w:rPr>
        <w:t xml:space="preserve"> A federated enterprise MDM capability with four mastered domains and one cross-domain identity graph, replacing today's scattered de-facto masters.</w:t>
      </w:r>
    </w:p>
    <w:p>
      <w:pPr>
        <w:pStyle w:val="ListParagraph"/>
        <w:numPr>
          <w:ilvl w:val="0"/>
          <w:numId w:val="7"/>
        </w:numPr>
        <w:spacing w:after="60" w:before="60"/>
      </w:pPr>
      <w:r>
        <w:rPr>
          <w:rFonts w:ascii="Arial" w:cs="Arial" w:eastAsia="Arial" w:hAnsi="Arial"/>
          <w:b/>
          <w:bCs/>
          <w:color w:val="0A1F2E"/>
          <w:sz w:val="22"/>
          <w:szCs w:val="22"/>
        </w:rPr>
        <w:t xml:space="preserve">The four mastered domains:</w:t>
      </w:r>
      <w:r>
        <w:rPr>
          <w:rFonts w:ascii="Arial" w:cs="Arial" w:eastAsia="Arial" w:hAnsi="Arial"/>
          <w:color w:val="0A1F2E"/>
          <w:sz w:val="22"/>
          <w:szCs w:val="22"/>
        </w:rPr>
        <w:t xml:space="preserve"> SMF/Instrument, Party/Client, Account/UAF, Reference/Code. Each mastered separately, all linked via a stable cross-domain identity graph.</w:t>
      </w:r>
    </w:p>
    <w:p>
      <w:pPr>
        <w:pStyle w:val="ListParagraph"/>
        <w:numPr>
          <w:ilvl w:val="0"/>
          <w:numId w:val="7"/>
        </w:numPr>
        <w:spacing w:after="60" w:before="60"/>
      </w:pPr>
      <w:r>
        <w:rPr>
          <w:rFonts w:ascii="Arial" w:cs="Arial" w:eastAsia="Arial" w:hAnsi="Arial"/>
          <w:b/>
          <w:bCs/>
          <w:color w:val="0A1F2E"/>
          <w:sz w:val="22"/>
          <w:szCs w:val="22"/>
        </w:rPr>
        <w:t xml:space="preserve">The cross-domain identity graph:</w:t>
      </w:r>
      <w:r>
        <w:rPr>
          <w:rFonts w:ascii="Arial" w:cs="Arial" w:eastAsia="Arial" w:hAnsi="Arial"/>
          <w:color w:val="0A1F2E"/>
          <w:sz w:val="22"/>
          <w:szCs w:val="22"/>
        </w:rPr>
        <w:t xml:space="preserve"> Linking SMF, Party, and Account so that traversal queries across all three domains can be answered without joining four separate marts.</w:t>
      </w:r>
    </w:p>
    <w:p>
      <w:pPr>
        <w:pStyle w:val="ListParagraph"/>
        <w:numPr>
          <w:ilvl w:val="0"/>
          <w:numId w:val="7"/>
        </w:numPr>
        <w:spacing w:after="60" w:before="60"/>
      </w:pPr>
      <w:r>
        <w:rPr>
          <w:rFonts w:ascii="Arial" w:cs="Arial" w:eastAsia="Arial" w:hAnsi="Arial"/>
          <w:b/>
          <w:bCs/>
          <w:color w:val="0A1F2E"/>
          <w:sz w:val="22"/>
          <w:szCs w:val="22"/>
        </w:rPr>
        <w:t xml:space="preserve">The mastering operations:</w:t>
      </w:r>
      <w:r>
        <w:rPr>
          <w:rFonts w:ascii="Arial" w:cs="Arial" w:eastAsia="Arial" w:hAnsi="Arial"/>
          <w:color w:val="0A1F2E"/>
          <w:sz w:val="22"/>
          <w:szCs w:val="22"/>
        </w:rPr>
        <w:t xml:space="preserve"> Match, Merge/Link, Survive, Steward/Override — the same four operations per domain, different rules per domain.</w:t>
      </w:r>
    </w:p>
    <w:p>
      <w:pPr>
        <w:pStyle w:val="ListParagraph"/>
        <w:numPr>
          <w:ilvl w:val="0"/>
          <w:numId w:val="7"/>
        </w:numPr>
        <w:spacing w:after="60" w:before="60"/>
      </w:pPr>
      <w:r>
        <w:rPr>
          <w:rFonts w:ascii="Arial" w:cs="Arial" w:eastAsia="Arial" w:hAnsi="Arial"/>
          <w:b/>
          <w:bCs/>
          <w:color w:val="0A1F2E"/>
          <w:sz w:val="22"/>
          <w:szCs w:val="22"/>
        </w:rPr>
        <w:t xml:space="preserve">The data products published:</w:t>
      </w:r>
      <w:r>
        <w:rPr>
          <w:rFonts w:ascii="Arial" w:cs="Arial" w:eastAsia="Arial" w:hAnsi="Arial"/>
          <w:color w:val="0A1F2E"/>
          <w:sz w:val="22"/>
          <w:szCs w:val="22"/>
        </w:rPr>
        <w:t xml:space="preserve"> CDC event streams, EOD snapshots, synchronous reference API — three channels per domain.</w:t>
      </w:r>
    </w:p>
    <w:p>
      <w:pPr>
        <w:pStyle w:val="ListParagraph"/>
        <w:numPr>
          <w:ilvl w:val="0"/>
          <w:numId w:val="7"/>
        </w:numPr>
        <w:spacing w:after="60" w:before="60"/>
      </w:pPr>
      <w:r>
        <w:rPr>
          <w:rFonts w:ascii="Arial" w:cs="Arial" w:eastAsia="Arial" w:hAnsi="Arial"/>
          <w:b/>
          <w:bCs/>
          <w:color w:val="0A1F2E"/>
          <w:sz w:val="22"/>
          <w:szCs w:val="22"/>
        </w:rPr>
        <w:t xml:space="preserve">The governance capability:</w:t>
      </w:r>
      <w:r>
        <w:rPr>
          <w:rFonts w:ascii="Arial" w:cs="Arial" w:eastAsia="Arial" w:hAnsi="Arial"/>
          <w:color w:val="0A1F2E"/>
          <w:sz w:val="22"/>
          <w:szCs w:val="22"/>
        </w:rPr>
        <w:t xml:space="preserve"> Named owners, named stewards, data catalog, lineage, DQ scorecards on six DAMA dimensions, issue management with SLAs.</w:t>
      </w:r>
    </w:p>
    <w:p>
      <w:pPr>
        <w:pStyle w:val="ListParagraph"/>
        <w:numPr>
          <w:ilvl w:val="0"/>
          <w:numId w:val="7"/>
        </w:numPr>
        <w:spacing w:after="60" w:before="60"/>
      </w:pPr>
      <w:r>
        <w:rPr>
          <w:rFonts w:ascii="Arial" w:cs="Arial" w:eastAsia="Arial" w:hAnsi="Arial"/>
          <w:b/>
          <w:bCs/>
          <w:color w:val="0A1F2E"/>
          <w:sz w:val="22"/>
          <w:szCs w:val="22"/>
        </w:rPr>
        <w:t xml:space="preserve">The operating model:</w:t>
      </w:r>
      <w:r>
        <w:rPr>
          <w:rFonts w:ascii="Arial" w:cs="Arial" w:eastAsia="Arial" w:hAnsi="Arial"/>
          <w:color w:val="0A1F2E"/>
          <w:sz w:val="22"/>
          <w:szCs w:val="22"/>
        </w:rPr>
        <w:t xml:space="preserve"> Consolidated reference data operations team replacing today's separate PB SMF and IM SMF teams.</w:t>
      </w:r>
    </w:p>
    <w:p>
      <w:pPr>
        <w:pStyle w:val="ListParagraph"/>
        <w:numPr>
          <w:ilvl w:val="0"/>
          <w:numId w:val="7"/>
        </w:numPr>
        <w:spacing w:after="60" w:before="60"/>
      </w:pPr>
      <w:r>
        <w:rPr>
          <w:rFonts w:ascii="Arial" w:cs="Arial" w:eastAsia="Arial" w:hAnsi="Arial"/>
          <w:b/>
          <w:bCs/>
          <w:color w:val="0A1F2E"/>
          <w:sz w:val="22"/>
          <w:szCs w:val="22"/>
        </w:rPr>
        <w:t xml:space="preserve">The technology footprint:</w:t>
      </w:r>
      <w:r>
        <w:rPr>
          <w:rFonts w:ascii="Arial" w:cs="Arial" w:eastAsia="Arial" w:hAnsi="Arial"/>
          <w:color w:val="0A1F2E"/>
          <w:sz w:val="22"/>
          <w:szCs w:val="22"/>
        </w:rPr>
        <w:t xml:space="preserve"> Oracle (bitemporal), Airflow on OpenShift, dbt-oracle, Kafka/GoldenGate, OpenLineage, steward console — all air-gapped on Nexus.</w:t>
      </w:r>
    </w:p>
    <w:p>
      <w:pPr>
        <w:pStyle w:val="ListParagraph"/>
        <w:numPr>
          <w:ilvl w:val="0"/>
          <w:numId w:val="7"/>
        </w:numPr>
        <w:spacing w:after="60" w:before="60"/>
      </w:pPr>
      <w:r>
        <w:rPr>
          <w:rFonts w:ascii="Arial" w:cs="Arial" w:eastAsia="Arial" w:hAnsi="Arial"/>
          <w:b/>
          <w:bCs/>
          <w:color w:val="0A1F2E"/>
          <w:sz w:val="22"/>
          <w:szCs w:val="22"/>
        </w:rPr>
        <w:t xml:space="preserve">The consumer contracts:</w:t>
      </w:r>
      <w:r>
        <w:rPr>
          <w:rFonts w:ascii="Arial" w:cs="Arial" w:eastAsia="Arial" w:hAnsi="Arial"/>
          <w:color w:val="0A1F2E"/>
          <w:sz w:val="22"/>
          <w:szCs w:val="22"/>
        </w:rPr>
        <w:t xml:space="preserve"> Canonical schema per domain, versioned, with compatibility layer for legacy consumers during migration.</w:t>
      </w:r>
    </w:p>
    <w:p>
      <w:pPr>
        <w:pStyle w:val="ListParagraph"/>
        <w:numPr>
          <w:ilvl w:val="0"/>
          <w:numId w:val="7"/>
        </w:numPr>
        <w:spacing w:after="60" w:before="60"/>
      </w:pPr>
      <w:r>
        <w:rPr>
          <w:rFonts w:ascii="Arial" w:cs="Arial" w:eastAsia="Arial" w:hAnsi="Arial"/>
          <w:b/>
          <w:bCs/>
          <w:color w:val="0A1F2E"/>
          <w:sz w:val="22"/>
          <w:szCs w:val="22"/>
        </w:rPr>
        <w:t xml:space="preserve">The success metrics:</w:t>
      </w:r>
      <w:r>
        <w:rPr>
          <w:rFonts w:ascii="Arial" w:cs="Arial" w:eastAsia="Arial" w:hAnsi="Arial"/>
          <w:color w:val="0A1F2E"/>
          <w:sz w:val="22"/>
          <w:szCs w:val="22"/>
        </w:rPr>
        <w:t xml:space="preserve"> Reduction in regulatory errors, reduction in duplicate vendor spend, reduction in manual FTE per million mastered entities, time to onboard new instrument types.</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HOW — The Twelve Implementation Approaches</w:t>
      </w:r>
    </w:p>
    <w:p>
      <w:pPr>
        <w:pStyle w:val="ListParagraph"/>
        <w:numPr>
          <w:ilvl w:val="0"/>
          <w:numId w:val="8"/>
        </w:numPr>
        <w:spacing w:after="60" w:before="60"/>
      </w:pPr>
      <w:r>
        <w:rPr>
          <w:rFonts w:ascii="Arial" w:cs="Arial" w:eastAsia="Arial" w:hAnsi="Arial"/>
          <w:b/>
          <w:bCs/>
          <w:color w:val="0A1F2E"/>
          <w:sz w:val="22"/>
          <w:szCs w:val="22"/>
        </w:rPr>
        <w:t xml:space="preserve">Implementation style per domain:</w:t>
      </w:r>
      <w:r>
        <w:rPr>
          <w:rFonts w:ascii="Arial" w:cs="Arial" w:eastAsia="Arial" w:hAnsi="Arial"/>
          <w:color w:val="0A1F2E"/>
          <w:sz w:val="22"/>
          <w:szCs w:val="22"/>
        </w:rPr>
        <w:t xml:space="preserve"> SMF: Style B evolving to C. Party: Style B initially. Account: Style B. Reference/Code: Style D (centralized from day one).</w:t>
      </w:r>
    </w:p>
    <w:p>
      <w:pPr>
        <w:pStyle w:val="ListParagraph"/>
        <w:numPr>
          <w:ilvl w:val="0"/>
          <w:numId w:val="8"/>
        </w:numPr>
        <w:spacing w:after="60" w:before="60"/>
      </w:pPr>
      <w:r>
        <w:rPr>
          <w:rFonts w:ascii="Arial" w:cs="Arial" w:eastAsia="Arial" w:hAnsi="Arial"/>
          <w:b/>
          <w:bCs/>
          <w:color w:val="0A1F2E"/>
          <w:sz w:val="22"/>
          <w:szCs w:val="22"/>
        </w:rPr>
        <w:t xml:space="preserve">Canonical model:</w:t>
      </w:r>
      <w:r>
        <w:rPr>
          <w:rFonts w:ascii="Arial" w:cs="Arial" w:eastAsia="Arial" w:hAnsi="Arial"/>
          <w:color w:val="0A1F2E"/>
          <w:sz w:val="22"/>
          <w:szCs w:val="22"/>
        </w:rPr>
        <w:t xml:space="preserve"> Three joint workshops per domain (conceptual, logical, physical). Business signs off on conceptual and logical; IT signs off on physical. Version-controlled as a contract.</w:t>
      </w:r>
    </w:p>
    <w:p>
      <w:pPr>
        <w:pStyle w:val="ListParagraph"/>
        <w:numPr>
          <w:ilvl w:val="0"/>
          <w:numId w:val="8"/>
        </w:numPr>
        <w:spacing w:after="60" w:before="60"/>
      </w:pPr>
      <w:r>
        <w:rPr>
          <w:rFonts w:ascii="Arial" w:cs="Arial" w:eastAsia="Arial" w:hAnsi="Arial"/>
          <w:b/>
          <w:bCs/>
          <w:color w:val="0A1F2E"/>
          <w:sz w:val="22"/>
          <w:szCs w:val="22"/>
        </w:rPr>
        <w:t xml:space="preserve">Mastering pipeline:</w:t>
      </w:r>
      <w:r>
        <w:rPr>
          <w:rFonts w:ascii="Arial" w:cs="Arial" w:eastAsia="Arial" w:hAnsi="Arial"/>
          <w:color w:val="0A1F2E"/>
          <w:sz w:val="22"/>
          <w:szCs w:val="22"/>
        </w:rPr>
        <w:t xml:space="preserve"> Four stages (Acquire, Match, Survive, Publish) per domain. Same shape, different rules. Failure isolates to the affected entity key, not the whole pipeline.</w:t>
      </w:r>
    </w:p>
    <w:p>
      <w:pPr>
        <w:pStyle w:val="ListParagraph"/>
        <w:numPr>
          <w:ilvl w:val="0"/>
          <w:numId w:val="8"/>
        </w:numPr>
        <w:spacing w:after="60" w:before="60"/>
      </w:pPr>
      <w:r>
        <w:rPr>
          <w:rFonts w:ascii="Arial" w:cs="Arial" w:eastAsia="Arial" w:hAnsi="Arial"/>
          <w:b/>
          <w:bCs/>
          <w:color w:val="0A1F2E"/>
          <w:sz w:val="22"/>
          <w:szCs w:val="22"/>
        </w:rPr>
        <w:t xml:space="preserve">Override engine:</w:t>
      </w:r>
      <w:r>
        <w:rPr>
          <w:rFonts w:ascii="Arial" w:cs="Arial" w:eastAsia="Arial" w:hAnsi="Arial"/>
          <w:color w:val="0A1F2E"/>
          <w:sz w:val="22"/>
          <w:szCs w:val="22"/>
        </w:rPr>
        <w:t xml:space="preserve"> Full lifecycle (Create/Review/Approve/Active/Expiry/Archive). Auto-retirement when vendor coverage appears. Mandatory peer review. Replaces asset_data.xls from day one.</w:t>
      </w:r>
    </w:p>
    <w:p>
      <w:pPr>
        <w:pStyle w:val="ListParagraph"/>
        <w:numPr>
          <w:ilvl w:val="0"/>
          <w:numId w:val="8"/>
        </w:numPr>
        <w:spacing w:after="60" w:before="60"/>
      </w:pPr>
      <w:r>
        <w:rPr>
          <w:rFonts w:ascii="Arial" w:cs="Arial" w:eastAsia="Arial" w:hAnsi="Arial"/>
          <w:b/>
          <w:bCs/>
          <w:color w:val="0A1F2E"/>
          <w:sz w:val="22"/>
          <w:szCs w:val="22"/>
        </w:rPr>
        <w:t xml:space="preserve">Bitemporal store:</w:t>
      </w:r>
      <w:r>
        <w:rPr>
          <w:rFonts w:ascii="Arial" w:cs="Arial" w:eastAsia="Arial" w:hAnsi="Arial"/>
          <w:color w:val="0A1F2E"/>
          <w:sz w:val="22"/>
          <w:szCs w:val="22"/>
        </w:rPr>
        <w:t xml:space="preserve"> Valid_from, valid_to, system_from, system_to per fact. Oracle partitioned. As-of query pattern for regulatory restatement.</w:t>
      </w:r>
    </w:p>
    <w:p>
      <w:pPr>
        <w:pStyle w:val="ListParagraph"/>
        <w:numPr>
          <w:ilvl w:val="0"/>
          <w:numId w:val="8"/>
        </w:numPr>
        <w:spacing w:after="60" w:before="60"/>
      </w:pPr>
      <w:r>
        <w:rPr>
          <w:rFonts w:ascii="Arial" w:cs="Arial" w:eastAsia="Arial" w:hAnsi="Arial"/>
          <w:b/>
          <w:bCs/>
          <w:color w:val="0A1F2E"/>
          <w:sz w:val="22"/>
          <w:szCs w:val="22"/>
        </w:rPr>
        <w:t xml:space="preserve">Cross-domain identity graph:</w:t>
      </w:r>
      <w:r>
        <w:rPr>
          <w:rFonts w:ascii="Arial" w:cs="Arial" w:eastAsia="Arial" w:hAnsi="Arial"/>
          <w:color w:val="0A1F2E"/>
          <w:sz w:val="22"/>
          <w:szCs w:val="22"/>
        </w:rPr>
        <w:t xml:space="preserve"> Start as adjacency tables in Oracle. Promote to property graph (Neo4j/Neptune) when traversal beyond two hops is required.</w:t>
      </w:r>
    </w:p>
    <w:p>
      <w:pPr>
        <w:pStyle w:val="ListParagraph"/>
        <w:numPr>
          <w:ilvl w:val="0"/>
          <w:numId w:val="8"/>
        </w:numPr>
        <w:spacing w:after="60" w:before="60"/>
      </w:pPr>
      <w:r>
        <w:rPr>
          <w:rFonts w:ascii="Arial" w:cs="Arial" w:eastAsia="Arial" w:hAnsi="Arial"/>
          <w:b/>
          <w:bCs/>
          <w:color w:val="0A1F2E"/>
          <w:sz w:val="22"/>
          <w:szCs w:val="22"/>
        </w:rPr>
        <w:t xml:space="preserve">Distribution layer:</w:t>
      </w:r>
      <w:r>
        <w:rPr>
          <w:rFonts w:ascii="Arial" w:cs="Arial" w:eastAsia="Arial" w:hAnsi="Arial"/>
          <w:color w:val="0A1F2E"/>
          <w:sz w:val="22"/>
          <w:szCs w:val="22"/>
        </w:rPr>
        <w:t xml:space="preserve"> Kafka for CDC, Parquet snapshots for EOD, FastAPI / Spring for Reference API — all deployed on OpenShift.</w:t>
      </w:r>
    </w:p>
    <w:p>
      <w:pPr>
        <w:pStyle w:val="ListParagraph"/>
        <w:numPr>
          <w:ilvl w:val="0"/>
          <w:numId w:val="8"/>
        </w:numPr>
        <w:spacing w:after="60" w:before="60"/>
      </w:pPr>
      <w:r>
        <w:rPr>
          <w:rFonts w:ascii="Arial" w:cs="Arial" w:eastAsia="Arial" w:hAnsi="Arial"/>
          <w:b/>
          <w:bCs/>
          <w:color w:val="0A1F2E"/>
          <w:sz w:val="22"/>
          <w:szCs w:val="22"/>
        </w:rPr>
        <w:t xml:space="preserve">Steward console:</w:t>
      </w:r>
      <w:r>
        <w:rPr>
          <w:rFonts w:ascii="Arial" w:cs="Arial" w:eastAsia="Arial" w:hAnsi="Arial"/>
          <w:color w:val="0A1F2E"/>
          <w:sz w:val="22"/>
          <w:szCs w:val="22"/>
        </w:rPr>
        <w:t xml:space="preserve"> Custom-built, reusing VS Code extension patterns and the Plan-then-Execute agent. First-class product, not an internal tool afterthought.</w:t>
      </w:r>
    </w:p>
    <w:p>
      <w:pPr>
        <w:pStyle w:val="ListParagraph"/>
        <w:numPr>
          <w:ilvl w:val="0"/>
          <w:numId w:val="8"/>
        </w:numPr>
        <w:spacing w:after="60" w:before="60"/>
      </w:pPr>
      <w:r>
        <w:rPr>
          <w:rFonts w:ascii="Arial" w:cs="Arial" w:eastAsia="Arial" w:hAnsi="Arial"/>
          <w:b/>
          <w:bCs/>
          <w:color w:val="0A1F2E"/>
          <w:sz w:val="22"/>
          <w:szCs w:val="22"/>
        </w:rPr>
        <w:t xml:space="preserve">Governance layer:</w:t>
      </w:r>
      <w:r>
        <w:rPr>
          <w:rFonts w:ascii="Arial" w:cs="Arial" w:eastAsia="Arial" w:hAnsi="Arial"/>
          <w:color w:val="0A1F2E"/>
          <w:sz w:val="22"/>
          <w:szCs w:val="22"/>
        </w:rPr>
        <w:t xml:space="preserve"> Named owners in internal directory. DataHub catalog. OpenLineage instrumentation. Monthly DQ review. Quarterly governance review.</w:t>
      </w:r>
    </w:p>
    <w:p>
      <w:pPr>
        <w:pStyle w:val="ListParagraph"/>
        <w:numPr>
          <w:ilvl w:val="0"/>
          <w:numId w:val="8"/>
        </w:numPr>
        <w:spacing w:after="60" w:before="60"/>
      </w:pPr>
      <w:r>
        <w:rPr>
          <w:rFonts w:ascii="Arial" w:cs="Arial" w:eastAsia="Arial" w:hAnsi="Arial"/>
          <w:b/>
          <w:bCs/>
          <w:color w:val="0A1F2E"/>
          <w:sz w:val="22"/>
          <w:szCs w:val="22"/>
        </w:rPr>
        <w:t xml:space="preserve">Consumer migration:</w:t>
      </w:r>
      <w:r>
        <w:rPr>
          <w:rFonts w:ascii="Arial" w:cs="Arial" w:eastAsia="Arial" w:hAnsi="Arial"/>
          <w:color w:val="0A1F2E"/>
          <w:sz w:val="22"/>
          <w:szCs w:val="22"/>
        </w:rPr>
        <w:t xml:space="preserve"> Strangler fig with dbt canonical + compatibility layer. Consumer registry tracks every consumer's migration status.</w:t>
      </w:r>
    </w:p>
    <w:p>
      <w:pPr>
        <w:pStyle w:val="ListParagraph"/>
        <w:numPr>
          <w:ilvl w:val="0"/>
          <w:numId w:val="8"/>
        </w:numPr>
        <w:spacing w:after="60" w:before="60"/>
      </w:pPr>
      <w:r>
        <w:rPr>
          <w:rFonts w:ascii="Arial" w:cs="Arial" w:eastAsia="Arial" w:hAnsi="Arial"/>
          <w:b/>
          <w:bCs/>
          <w:color w:val="0A1F2E"/>
          <w:sz w:val="22"/>
          <w:szCs w:val="22"/>
        </w:rPr>
        <w:t xml:space="preserve">Operations:</w:t>
      </w:r>
      <w:r>
        <w:rPr>
          <w:rFonts w:ascii="Arial" w:cs="Arial" w:eastAsia="Arial" w:hAnsi="Arial"/>
          <w:color w:val="0A1F2E"/>
          <w:sz w:val="22"/>
          <w:szCs w:val="22"/>
        </w:rPr>
        <w:t xml:space="preserve"> Domain-aligned squads (SMF, Party, Account) under a single head of reference data. Issue intake from DQ monitoring and consumer tickets.</w:t>
      </w:r>
    </w:p>
    <w:p>
      <w:pPr>
        <w:pStyle w:val="ListParagraph"/>
        <w:numPr>
          <w:ilvl w:val="0"/>
          <w:numId w:val="8"/>
        </w:numPr>
        <w:spacing w:after="60" w:before="60"/>
      </w:pPr>
      <w:r>
        <w:rPr>
          <w:rFonts w:ascii="Arial" w:cs="Arial" w:eastAsia="Arial" w:hAnsi="Arial"/>
          <w:b/>
          <w:bCs/>
          <w:color w:val="0A1F2E"/>
          <w:sz w:val="22"/>
          <w:szCs w:val="22"/>
        </w:rPr>
        <w:t xml:space="preserve">Technology governance:</w:t>
      </w:r>
      <w:r>
        <w:rPr>
          <w:rFonts w:ascii="Arial" w:cs="Arial" w:eastAsia="Arial" w:hAnsi="Arial"/>
          <w:color w:val="0A1F2E"/>
          <w:sz w:val="22"/>
          <w:szCs w:val="22"/>
        </w:rPr>
        <w:t xml:space="preserve"> Architecture Decision Records (ADRs) for every significant choice. Vendor lock-in managed by ensuring every component has a defined interface for re-implementation.</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WHEN — The Five-Year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8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Duration</w:t>
            </w:r>
          </w:p>
        </w:tc>
        <w:tc>
          <w:tcPr>
            <w:tcW w:type="dxa" w:w="32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Key Deliverables</w:t>
            </w:r>
          </w:p>
        </w:tc>
        <w:tc>
          <w:tcPr>
            <w:tcW w:type="dxa" w:w="296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Exit Criteria</w:t>
            </w:r>
          </w:p>
        </w:tc>
      </w:tr>
      <w:tr>
        <w:tc>
          <w:tcPr>
            <w:tcW w:type="dxa" w:w="14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1F5C6B"/>
                <w:sz w:val="20"/>
                <w:szCs w:val="20"/>
              </w:rPr>
              <w:t xml:space="preserve">0 · Discovery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3-6 months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Investigation items resolved, canonical model finalized, steward TOM design, vendor consolidation plan, ADRs on CDC and lineage tooling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Signed-off TOM, SWP loader limits documented, ARB sign-off on Option 2 commitment</w:t>
            </w:r>
          </w:p>
        </w:tc>
      </w:tr>
      <w:tr>
        <w:tc>
          <w:tcPr>
            <w:tcW w:type="dxa" w:w="14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1F5C6B"/>
                <w:sz w:val="20"/>
                <w:szCs w:val="20"/>
              </w:rPr>
              <w:t xml:space="preserve">1 · Build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6-9 months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SMF mastering pipeline, override engine, CPWH canonical layer, OpenLineage end-to-end, steward console v1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Mastering ≥ 95% accuracy on test set, contract tests passing, CPWH live</w:t>
            </w:r>
          </w:p>
        </w:tc>
      </w:tr>
      <w:tr>
        <w:tc>
          <w:tcPr>
            <w:tcW w:type="dxa" w:w="14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1F5C6B"/>
                <w:sz w:val="20"/>
                <w:szCs w:val="20"/>
              </w:rPr>
              <w:t xml:space="preserve">2 · Parallel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6-12 months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Old + new side by side, reconciliation tooling, steward team trained, first 50 consumers migrated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Daily recon &lt; 0.1% breaks, first consumer cohort migrated without incident</w:t>
            </w:r>
          </w:p>
        </w:tc>
      </w:tr>
      <w:tr>
        <w:tc>
          <w:tcPr>
            <w:tcW w:type="dxa" w:w="14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1F5C6B"/>
                <w:sz w:val="20"/>
                <w:szCs w:val="20"/>
              </w:rPr>
              <w:t xml:space="preserve">3 · Cutover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6-12 months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SWP cutover to GoldenSource feed, IMDS/PBWH cutover, remaining consumer migration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Old paths in read-only mode, no system-of-record dependency on Addvantage or IM DWH</w:t>
            </w:r>
          </w:p>
        </w:tc>
      </w:tr>
      <w:tr>
        <w:tc>
          <w:tcPr>
            <w:tcW w:type="dxa" w:w="14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1F5C6B"/>
                <w:sz w:val="20"/>
                <w:szCs w:val="20"/>
              </w:rPr>
              <w:t xml:space="preserve">4 · Decommission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3-6 months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Addvantage MDM role decommissioned, IM DWH SMF tables retired, single market data contract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Single steward team operational, vendor consolidation realised, cost run-rate at target</w:t>
            </w:r>
          </w:p>
        </w:tc>
      </w:tr>
    </w:tbl>
    <w:p>
      <w:pPr>
        <w:pBdr>
          <w:left w:val="single" w:color="B85C38" w:sz="12" w:space="6"/>
        </w:pBdr>
        <w:shd w:fill="F9ECE5" w:val="clear"/>
        <w:spacing w:after="120" w:before="120"/>
        <w:ind w:left="180"/>
      </w:pPr>
      <w:r>
        <w:rPr>
          <w:rFonts w:ascii="Arial" w:cs="Arial" w:eastAsia="Arial" w:hAnsi="Arial"/>
          <w:i/>
          <w:iCs/>
          <w:color w:val="0A1F2E"/>
          <w:sz w:val="22"/>
          <w:szCs w:val="22"/>
        </w:rPr>
        <w:t xml:space="preserve">Realistic total: 24-45 months for SMF. Anyone promising under 18 months is underselling the operating model consolidation. Phase exits are budget reset points — slippage greater than 2 months triggers rebaseline rather than silent overrun.</w:t>
      </w:r>
    </w:p>
    <w:p>
      <w:pPr>
        <w:spacing w:after="0" w:before="0"/>
      </w:pPr>
      <w:r>
        <w:br w:type="page"/>
      </w:r>
    </w:p>
    <w:p>
      <w:pPr>
        <w:pStyle w:val="Heading1"/>
        <w:pBdr>
          <w:bottom w:val="single" w:color="1F5C6B" w:sz="4" w:space="6"/>
        </w:pBdr>
        <w:spacing w:after="180" w:before="360"/>
      </w:pPr>
      <w:r>
        <w:rPr>
          <w:rFonts w:ascii="Arial" w:cs="Arial" w:eastAsia="Arial" w:hAnsi="Arial"/>
          <w:b/>
          <w:bCs/>
          <w:color w:val="0A1F2E"/>
          <w:sz w:val="32"/>
          <w:szCs w:val="32"/>
        </w:rPr>
        <w:t xml:space="preserve">Chapter 8: GoldenSource × SEI Integration &amp; Data Hub — Option Fit</w:t>
      </w:r>
    </w:p>
    <w:p>
      <w:pPr>
        <w:pStyle w:val="Heading2"/>
        <w:spacing w:after="120" w:before="300"/>
      </w:pPr>
      <w:r>
        <w:rPr>
          <w:rFonts w:ascii="Arial" w:cs="Arial" w:eastAsia="Arial" w:hAnsi="Arial"/>
          <w:b/>
          <w:bCs/>
          <w:color w:val="1F5C6B"/>
          <w:sz w:val="26"/>
          <w:szCs w:val="26"/>
        </w:rPr>
        <w:t xml:space="preserve">The SEI DataHub Stack (Recap)</w:t>
      </w:r>
    </w:p>
    <w:p>
      <w:pPr>
        <w:spacing w:after="100" w:before="80"/>
        <w:jc w:val="left"/>
      </w:pPr>
      <w:r>
        <w:rPr>
          <w:rFonts w:ascii="Arial" w:cs="Arial" w:eastAsia="Arial" w:hAnsi="Arial"/>
          <w:b w:val="false"/>
          <w:bCs w:val="false"/>
          <w:i w:val="false"/>
          <w:iCs w:val="false"/>
          <w:color w:val="0A1F2E"/>
          <w:sz w:val="22"/>
          <w:szCs w:val="22"/>
        </w:rPr>
        <w:t xml:space="preserve">The SEI Integration &amp; Data Hub being built has five layers that are already MDM-ready by design:</w:t>
      </w:r>
    </w:p>
    <w:p>
      <w:pPr>
        <w:pStyle w:val="ListParagraph"/>
        <w:numPr>
          <w:ilvl w:val="0"/>
          <w:numId w:val="4"/>
        </w:numPr>
        <w:spacing w:after="60" w:before="60"/>
      </w:pPr>
      <w:r>
        <w:rPr>
          <w:rFonts w:ascii="Arial" w:cs="Arial" w:eastAsia="Arial" w:hAnsi="Arial"/>
          <w:b/>
          <w:bCs/>
          <w:color w:val="0A1F2E"/>
          <w:sz w:val="22"/>
          <w:szCs w:val="22"/>
        </w:rPr>
        <w:t xml:space="preserve">Layer 1 — SEI SWP:</w:t>
      </w:r>
      <w:r>
        <w:rPr>
          <w:rFonts w:ascii="Arial" w:cs="Arial" w:eastAsia="Arial" w:hAnsi="Arial"/>
          <w:color w:val="0A1F2E"/>
          <w:sz w:val="22"/>
          <w:szCs w:val="22"/>
        </w:rPr>
        <w:t xml:space="preserve"> New system of record. Loaders, feeds, API, RTM. Day 1 SFTP, intraday Apigee API.</w:t>
      </w:r>
    </w:p>
    <w:p>
      <w:pPr>
        <w:pStyle w:val="ListParagraph"/>
        <w:numPr>
          <w:ilvl w:val="0"/>
          <w:numId w:val="4"/>
        </w:numPr>
        <w:spacing w:after="60" w:before="60"/>
      </w:pPr>
      <w:r>
        <w:rPr>
          <w:rFonts w:ascii="Arial" w:cs="Arial" w:eastAsia="Arial" w:hAnsi="Arial"/>
          <w:b/>
          <w:bCs/>
          <w:color w:val="0A1F2E"/>
          <w:sz w:val="22"/>
          <w:szCs w:val="22"/>
        </w:rPr>
        <w:t xml:space="preserve">Layer 2 — Integration Hub:</w:t>
      </w:r>
      <w:r>
        <w:rPr>
          <w:rFonts w:ascii="Arial" w:cs="Arial" w:eastAsia="Arial" w:hAnsi="Arial"/>
          <w:color w:val="0A1F2E"/>
          <w:sz w:val="22"/>
          <w:szCs w:val="22"/>
        </w:rPr>
        <w:t xml:space="preserve"> Airflow 3.x on OpenShift, KubernetesExecutor. Replacing 2,500 RMJ jobs with &lt; 100 canonical DAGs.</w:t>
      </w:r>
    </w:p>
    <w:p>
      <w:pPr>
        <w:pStyle w:val="ListParagraph"/>
        <w:numPr>
          <w:ilvl w:val="0"/>
          <w:numId w:val="4"/>
        </w:numPr>
        <w:spacing w:after="60" w:before="60"/>
      </w:pPr>
      <w:r>
        <w:rPr>
          <w:rFonts w:ascii="Arial" w:cs="Arial" w:eastAsia="Arial" w:hAnsi="Arial"/>
          <w:b/>
          <w:bCs/>
          <w:color w:val="0A1F2E"/>
          <w:sz w:val="22"/>
          <w:szCs w:val="22"/>
        </w:rPr>
        <w:t xml:space="preserve">Layer 3 — Data Hub:</w:t>
      </w:r>
      <w:r>
        <w:rPr>
          <w:rFonts w:ascii="Arial" w:cs="Arial" w:eastAsia="Arial" w:hAnsi="Arial"/>
          <w:color w:val="0A1F2E"/>
          <w:sz w:val="22"/>
          <w:szCs w:val="22"/>
        </w:rPr>
        <w:t xml:space="preserve"> dbt-Oracle (Staging → Canonical → Mart). 3-layer transformation. Great Expectations. Immutable contract for ~1,000 consumers. NYDFS 500 compliance.</w:t>
      </w:r>
    </w:p>
    <w:p>
      <w:pPr>
        <w:pStyle w:val="ListParagraph"/>
        <w:numPr>
          <w:ilvl w:val="0"/>
          <w:numId w:val="4"/>
        </w:numPr>
        <w:spacing w:after="60" w:before="60"/>
      </w:pPr>
      <w:r>
        <w:rPr>
          <w:rFonts w:ascii="Arial" w:cs="Arial" w:eastAsia="Arial" w:hAnsi="Arial"/>
          <w:b/>
          <w:bCs/>
          <w:color w:val="0A1F2E"/>
          <w:sz w:val="22"/>
          <w:szCs w:val="22"/>
        </w:rPr>
        <w:t xml:space="preserve">Layer 4 — CP Data Platform:</w:t>
      </w:r>
      <w:r>
        <w:rPr>
          <w:rFonts w:ascii="Arial" w:cs="Arial" w:eastAsia="Arial" w:hAnsi="Arial"/>
          <w:color w:val="0A1F2E"/>
          <w:sz w:val="22"/>
          <w:szCs w:val="22"/>
        </w:rPr>
        <w:t xml:space="preserve"> PBDW, CPDW, IMDS, BBH Semantic Layer, Data Virtualization.</w:t>
      </w:r>
    </w:p>
    <w:p>
      <w:pPr>
        <w:pStyle w:val="ListParagraph"/>
        <w:numPr>
          <w:ilvl w:val="0"/>
          <w:numId w:val="4"/>
        </w:numPr>
        <w:spacing w:after="60" w:before="60"/>
      </w:pPr>
      <w:r>
        <w:rPr>
          <w:rFonts w:ascii="Arial" w:cs="Arial" w:eastAsia="Arial" w:hAnsi="Arial"/>
          <w:b/>
          <w:bCs/>
          <w:color w:val="0A1F2E"/>
          <w:sz w:val="22"/>
          <w:szCs w:val="22"/>
        </w:rPr>
        <w:t xml:space="preserve">Layer 5 — Downstream Consumers:</w:t>
      </w:r>
      <w:r>
        <w:rPr>
          <w:rFonts w:ascii="Arial" w:cs="Arial" w:eastAsia="Arial" w:hAnsi="Arial"/>
          <w:color w:val="0A1F2E"/>
          <w:sz w:val="22"/>
          <w:szCs w:val="22"/>
        </w:rPr>
        <w:t xml:space="preserve"> ~1,000 consumers: BBH Infuse, PB Client Portal, CRM, CRD, Advantage, 3rd Party Apps.</w:t>
      </w:r>
    </w:p>
    <w:p>
      <w:pPr>
        <w:pBdr>
          <w:left w:val="single" w:color="1F5C6B" w:sz="12" w:space="6"/>
        </w:pBdr>
        <w:shd w:fill="D0E4E8" w:val="clear"/>
        <w:spacing w:after="120" w:before="120"/>
        <w:ind w:left="180"/>
      </w:pPr>
      <w:r>
        <w:rPr>
          <w:rFonts w:ascii="Arial" w:cs="Arial" w:eastAsia="Arial" w:hAnsi="Arial"/>
          <w:i/>
          <w:iCs/>
          <w:color w:val="0A1F2E"/>
          <w:sz w:val="22"/>
          <w:szCs w:val="22"/>
        </w:rPr>
        <w:t xml:space="preserve">Critical observation: the dbt canonical layer (Layer 3) is already designed as the immutable contract for ~1,000 consumers. That is precisely where an MDM platform's mastered output lands. The SEI DataHub design is MDM-ready by accident.</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Where GoldenSource Fits — Three Attachment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80"/>
        <w:gridCol w:w="1980"/>
      </w:tblGrid>
      <w:tr>
        <w:tc>
          <w:tcPr>
            <w:tcW w:type="dxa" w:w="24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Attachment Point</w:t>
            </w:r>
          </w:p>
        </w:tc>
        <w:tc>
          <w:tcPr>
            <w:tcW w:type="dxa" w:w="30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What GoldenSource Does</w:t>
            </w:r>
          </w:p>
        </w:tc>
        <w:tc>
          <w:tcPr>
            <w:tcW w:type="dxa" w:w="198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What SWP Does</w:t>
            </w:r>
          </w:p>
        </w:tc>
        <w:tc>
          <w:tcPr>
            <w:tcW w:type="dxa" w:w="198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Maps To</w:t>
            </w:r>
          </w:p>
        </w:tc>
      </w:tr>
      <w:tr>
        <w:tc>
          <w:tcPr>
            <w:tcW w:type="dxa" w:w="24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Above SWP (Layer 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Masters SMF; feeds SWP as a reference data input. SWP receives mastered data.</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Accounting only</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20"/>
                <w:szCs w:val="20"/>
              </w:rPr>
              <w:t xml:space="preserve">Option 2 — Strategic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Alongside dbt canonical (Layer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Masters SMF for analytical consumers; SWP still receives raw SMF for pass-thru.</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Accounting + SMF pass-thru</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A961"/>
                <w:sz w:val="20"/>
                <w:szCs w:val="20"/>
              </w:rPr>
              <w:t xml:space="preserve">Option 3 — Semi-Strategic</w:t>
            </w:r>
          </w:p>
        </w:tc>
      </w:tr>
      <w:tr>
        <w:tc>
          <w:tcPr>
            <w:tcW w:type="dxa" w:w="24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Nowhere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No MDM. SMF mastered through SWP loaders (asset_data.xls).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De-facto MDM</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38"/>
                <w:sz w:val="20"/>
                <w:szCs w:val="20"/>
              </w:rPr>
              <w:t xml:space="preserve">Option 1 — Lift &amp; Shift</w:t>
            </w:r>
          </w:p>
        </w:tc>
      </w:tr>
    </w:tbl>
    <w:p>
      <w:pPr>
        <w:spacing w:after="60" w:before="60"/>
      </w:pPr>
      <w:r>
        <w:t xml:space="preserve"/>
      </w:r>
    </w:p>
    <w:p>
      <w:pPr>
        <w:pStyle w:val="Heading2"/>
        <w:spacing w:after="120" w:before="300"/>
      </w:pPr>
      <w:r>
        <w:rPr>
          <w:rFonts w:ascii="Arial" w:cs="Arial" w:eastAsia="Arial" w:hAnsi="Arial"/>
          <w:b/>
          <w:bCs/>
          <w:color w:val="1F5C6B"/>
          <w:sz w:val="26"/>
          <w:szCs w:val="26"/>
        </w:rPr>
        <w:t xml:space="preserve">Option 1 — Why It Fails the SEI DataHub Investment</w:t>
      </w:r>
    </w:p>
    <w:p>
      <w:pPr>
        <w:pStyle w:val="ListParagraph"/>
        <w:numPr>
          <w:ilvl w:val="0"/>
          <w:numId w:val="4"/>
        </w:numPr>
        <w:spacing w:after="60" w:before="60"/>
      </w:pPr>
      <w:r>
        <w:rPr>
          <w:rFonts w:ascii="Arial" w:cs="Arial" w:eastAsia="Arial" w:hAnsi="Arial"/>
          <w:b/>
          <w:bCs/>
          <w:color w:val="0A1F2E"/>
          <w:sz w:val="22"/>
          <w:szCs w:val="22"/>
        </w:rPr>
        <w:t xml:space="preserve">Wastes the dbt canonical layer:</w:t>
      </w:r>
      <w:r>
        <w:rPr>
          <w:rFonts w:ascii="Arial" w:cs="Arial" w:eastAsia="Arial" w:hAnsi="Arial"/>
          <w:color w:val="0A1F2E"/>
          <w:sz w:val="22"/>
          <w:szCs w:val="22"/>
        </w:rPr>
        <w:t xml:space="preserve"> The contract for ~1,000 consumers describes data with mixed provenance. The contract just propagates unreliability with better observability. Garbage in, governed garbage out.</w:t>
      </w:r>
    </w:p>
    <w:p>
      <w:pPr>
        <w:pStyle w:val="ListParagraph"/>
        <w:numPr>
          <w:ilvl w:val="0"/>
          <w:numId w:val="4"/>
        </w:numPr>
        <w:spacing w:after="60" w:before="60"/>
      </w:pPr>
      <w:r>
        <w:rPr>
          <w:rFonts w:ascii="Arial" w:cs="Arial" w:eastAsia="Arial" w:hAnsi="Arial"/>
          <w:b/>
          <w:bCs/>
          <w:color w:val="0A1F2E"/>
          <w:sz w:val="22"/>
          <w:szCs w:val="22"/>
        </w:rPr>
        <w:t xml:space="preserve">Wastes the Airflow consolidation:</w:t>
      </w:r>
      <w:r>
        <w:rPr>
          <w:rFonts w:ascii="Arial" w:cs="Arial" w:eastAsia="Arial" w:hAnsi="Arial"/>
          <w:color w:val="0A1F2E"/>
          <w:sz w:val="22"/>
          <w:szCs w:val="22"/>
        </w:rPr>
        <w:t xml:space="preserve"> Killing 2,500 RMJ jobs delivers governed orchestration of broken data.</w:t>
      </w:r>
    </w:p>
    <w:p>
      <w:pPr>
        <w:pStyle w:val="ListParagraph"/>
        <w:numPr>
          <w:ilvl w:val="0"/>
          <w:numId w:val="4"/>
        </w:numPr>
        <w:spacing w:after="60" w:before="60"/>
      </w:pPr>
      <w:r>
        <w:rPr>
          <w:rFonts w:ascii="Arial" w:cs="Arial" w:eastAsia="Arial" w:hAnsi="Arial"/>
          <w:b/>
          <w:bCs/>
          <w:color w:val="0A1F2E"/>
          <w:sz w:val="22"/>
          <w:szCs w:val="22"/>
        </w:rPr>
        <w:t xml:space="preserve">Contradicts four of five 'Why' pillars:</w:t>
      </w:r>
      <w:r>
        <w:rPr>
          <w:rFonts w:ascii="Arial" w:cs="Arial" w:eastAsia="Arial" w:hAnsi="Arial"/>
          <w:color w:val="0A1F2E"/>
          <w:sz w:val="22"/>
          <w:szCs w:val="22"/>
        </w:rPr>
        <w:t xml:space="preserve"> Real-Time vs. Delayed Batch, Replace Legacy Accounting Core, Centralized Governance &amp; Quality, and Scalability &amp; Business Agility all require mastered data. Option 1 delivers none of these for SMF.</w:t>
      </w:r>
    </w:p>
    <w:p>
      <w:pPr>
        <w:pStyle w:val="ListParagraph"/>
        <w:numPr>
          <w:ilvl w:val="0"/>
          <w:numId w:val="4"/>
        </w:numPr>
        <w:spacing w:after="60" w:before="60"/>
      </w:pPr>
      <w:r>
        <w:rPr>
          <w:rFonts w:ascii="Arial" w:cs="Arial" w:eastAsia="Arial" w:hAnsi="Arial"/>
          <w:b/>
          <w:bCs/>
          <w:color w:val="0A1F2E"/>
          <w:sz w:val="22"/>
          <w:szCs w:val="22"/>
        </w:rPr>
        <w:t xml:space="preserve">NYDFS exposure:</w:t>
      </w:r>
      <w:r>
        <w:rPr>
          <w:rFonts w:ascii="Arial" w:cs="Arial" w:eastAsia="Arial" w:hAnsi="Arial"/>
          <w:color w:val="0A1F2E"/>
          <w:sz w:val="22"/>
          <w:szCs w:val="22"/>
        </w:rPr>
        <w:t xml:space="preserve"> The Centralized Governance &amp; Quality pillar names NYDFS 500 explicitly. Option 1 makes this harder to defend, not easier.</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Option 2 — Why It Activates the SEI DataHub Investment</w:t>
      </w:r>
    </w:p>
    <w:p>
      <w:pPr>
        <w:pStyle w:val="ListParagraph"/>
        <w:numPr>
          <w:ilvl w:val="0"/>
          <w:numId w:val="4"/>
        </w:numPr>
        <w:spacing w:after="60" w:before="60"/>
      </w:pPr>
      <w:r>
        <w:rPr>
          <w:rFonts w:ascii="Arial" w:cs="Arial" w:eastAsia="Arial" w:hAnsi="Arial"/>
          <w:b/>
          <w:bCs/>
          <w:color w:val="0A1F2E"/>
          <w:sz w:val="22"/>
          <w:szCs w:val="22"/>
        </w:rPr>
        <w:t xml:space="preserve">Activates the full value of the dbt canonical layer:</w:t>
      </w:r>
      <w:r>
        <w:rPr>
          <w:rFonts w:ascii="Arial" w:cs="Arial" w:eastAsia="Arial" w:hAnsi="Arial"/>
          <w:color w:val="0A1F2E"/>
          <w:sz w:val="22"/>
          <w:szCs w:val="22"/>
        </w:rPr>
        <w:t xml:space="preserve"> The contract now describes mastered data. It becomes regulatorily defensible, not just observable.</w:t>
      </w:r>
    </w:p>
    <w:p>
      <w:pPr>
        <w:pStyle w:val="ListParagraph"/>
        <w:numPr>
          <w:ilvl w:val="0"/>
          <w:numId w:val="4"/>
        </w:numPr>
        <w:spacing w:after="60" w:before="60"/>
      </w:pPr>
      <w:r>
        <w:rPr>
          <w:rFonts w:ascii="Arial" w:cs="Arial" w:eastAsia="Arial" w:hAnsi="Arial"/>
          <w:b/>
          <w:bCs/>
          <w:color w:val="0A1F2E"/>
          <w:sz w:val="22"/>
          <w:szCs w:val="22"/>
        </w:rPr>
        <w:t xml:space="preserve">Airflow gains higher-value workload:</w:t>
      </w:r>
      <w:r>
        <w:rPr>
          <w:rFonts w:ascii="Arial" w:cs="Arial" w:eastAsia="Arial" w:hAnsi="Arial"/>
          <w:color w:val="0A1F2E"/>
          <w:sz w:val="22"/>
          <w:szCs w:val="22"/>
        </w:rPr>
        <w:t xml:space="preserve"> Beyond SWP loading, it orchestrates MDM pipelines. Same platform, more value.</w:t>
      </w:r>
    </w:p>
    <w:p>
      <w:pPr>
        <w:pStyle w:val="ListParagraph"/>
        <w:numPr>
          <w:ilvl w:val="0"/>
          <w:numId w:val="4"/>
        </w:numPr>
        <w:spacing w:after="60" w:before="60"/>
      </w:pPr>
      <w:r>
        <w:rPr>
          <w:rFonts w:ascii="Arial" w:cs="Arial" w:eastAsia="Arial" w:hAnsi="Arial"/>
          <w:b/>
          <w:bCs/>
          <w:color w:val="0A1F2E"/>
          <w:sz w:val="22"/>
          <w:szCs w:val="22"/>
        </w:rPr>
        <w:t xml:space="preserve">SWP scope contractually clean:</w:t>
      </w:r>
      <w:r>
        <w:rPr>
          <w:rFonts w:ascii="Arial" w:cs="Arial" w:eastAsia="Arial" w:hAnsi="Arial"/>
          <w:color w:val="0A1F2E"/>
          <w:sz w:val="22"/>
          <w:szCs w:val="22"/>
        </w:rPr>
        <w:t xml:space="preserve"> Accounting only. Future SWP roadmap features that try to expand into MDM territory can be declined cleanly.</w:t>
      </w:r>
    </w:p>
    <w:p>
      <w:pPr>
        <w:pStyle w:val="ListParagraph"/>
        <w:numPr>
          <w:ilvl w:val="0"/>
          <w:numId w:val="4"/>
        </w:numPr>
        <w:spacing w:after="60" w:before="60"/>
      </w:pPr>
      <w:r>
        <w:rPr>
          <w:rFonts w:ascii="Arial" w:cs="Arial" w:eastAsia="Arial" w:hAnsi="Arial"/>
          <w:b/>
          <w:bCs/>
          <w:color w:val="0A1F2E"/>
          <w:sz w:val="22"/>
          <w:szCs w:val="22"/>
        </w:rPr>
        <w:t xml:space="preserve">NYDFS 500 narrative is straightforward:</w:t>
      </w:r>
      <w:r>
        <w:rPr>
          <w:rFonts w:ascii="Arial" w:cs="Arial" w:eastAsia="Arial" w:hAnsi="Arial"/>
          <w:color w:val="0A1F2E"/>
          <w:sz w:val="22"/>
          <w:szCs w:val="22"/>
        </w:rPr>
        <w:t xml:space="preserve"> Single mastered SMF, attribute-level survivorship, full audit, bitemporal restatement. Examiner can see the chain end-to-end.</w:t>
      </w:r>
    </w:p>
    <w:p>
      <w:pPr>
        <w:pStyle w:val="ListParagraph"/>
        <w:numPr>
          <w:ilvl w:val="0"/>
          <w:numId w:val="4"/>
        </w:numPr>
        <w:spacing w:after="60" w:before="60"/>
      </w:pPr>
      <w:r>
        <w:rPr>
          <w:rFonts w:ascii="Arial" w:cs="Arial" w:eastAsia="Arial" w:hAnsi="Arial"/>
          <w:b/>
          <w:bCs/>
          <w:color w:val="0A1F2E"/>
          <w:sz w:val="22"/>
          <w:szCs w:val="22"/>
        </w:rPr>
        <w:t xml:space="preserve">Multi-domain expansion is natural:</w:t>
      </w:r>
      <w:r>
        <w:rPr>
          <w:rFonts w:ascii="Arial" w:cs="Arial" w:eastAsia="Arial" w:hAnsi="Arial"/>
          <w:color w:val="0A1F2E"/>
          <w:sz w:val="22"/>
          <w:szCs w:val="22"/>
        </w:rPr>
        <w:t xml:space="preserve"> GoldenSource Counterparty and Account modules attach to the same Airflow + dbt substrate in Years 2-3.</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Option 3 — Why It Only Works as Transitional</w:t>
      </w:r>
    </w:p>
    <w:p>
      <w:pPr>
        <w:pStyle w:val="ListParagraph"/>
        <w:numPr>
          <w:ilvl w:val="0"/>
          <w:numId w:val="4"/>
        </w:numPr>
        <w:spacing w:after="60" w:before="60"/>
      </w:pPr>
      <w:r>
        <w:rPr>
          <w:rFonts w:ascii="Arial" w:cs="Arial" w:eastAsia="Arial" w:hAnsi="Arial"/>
          <w:b/>
          <w:bCs/>
          <w:color w:val="0A1F2E"/>
          <w:sz w:val="22"/>
          <w:szCs w:val="22"/>
        </w:rPr>
        <w:t xml:space="preserve">Two override mechanisms:</w:t>
      </w:r>
      <w:r>
        <w:rPr>
          <w:rFonts w:ascii="Arial" w:cs="Arial" w:eastAsia="Arial" w:hAnsi="Arial"/>
          <w:color w:val="0A1F2E"/>
          <w:sz w:val="22"/>
          <w:szCs w:val="22"/>
        </w:rPr>
        <w:t xml:space="preserve"> GoldenSource override engine and SWP asset_data.xls. Stewards work in two systems. Conflicts have no architectural resolution path.</w:t>
      </w:r>
    </w:p>
    <w:p>
      <w:pPr>
        <w:pStyle w:val="ListParagraph"/>
        <w:numPr>
          <w:ilvl w:val="0"/>
          <w:numId w:val="4"/>
        </w:numPr>
        <w:spacing w:after="60" w:before="60"/>
      </w:pPr>
      <w:r>
        <w:rPr>
          <w:rFonts w:ascii="Arial" w:cs="Arial" w:eastAsia="Arial" w:hAnsi="Arial"/>
          <w:b/>
          <w:bCs/>
          <w:color w:val="0A1F2E"/>
          <w:sz w:val="22"/>
          <w:szCs w:val="22"/>
        </w:rPr>
        <w:t xml:space="preserve">Reconciliation burden in dbt:</w:t>
      </w:r>
      <w:r>
        <w:rPr>
          <w:rFonts w:ascii="Arial" w:cs="Arial" w:eastAsia="Arial" w:hAnsi="Arial"/>
          <w:color w:val="0A1F2E"/>
          <w:sz w:val="22"/>
          <w:szCs w:val="22"/>
        </w:rPr>
        <w:t xml:space="preserve"> The canonical layer was designed to enforce contracts, not arbitrate truth between two competing masters.</w:t>
      </w:r>
    </w:p>
    <w:p>
      <w:pPr>
        <w:pStyle w:val="ListParagraph"/>
        <w:numPr>
          <w:ilvl w:val="0"/>
          <w:numId w:val="4"/>
        </w:numPr>
        <w:spacing w:after="60" w:before="60"/>
      </w:pPr>
      <w:r>
        <w:rPr>
          <w:rFonts w:ascii="Arial" w:cs="Arial" w:eastAsia="Arial" w:hAnsi="Arial"/>
          <w:b/>
          <w:bCs/>
          <w:color w:val="0A1F2E"/>
          <w:sz w:val="22"/>
          <w:szCs w:val="22"/>
        </w:rPr>
        <w:t xml:space="preserve">Duplicate market data spend continues:</w:t>
      </w:r>
      <w:r>
        <w:rPr>
          <w:rFonts w:ascii="Arial" w:cs="Arial" w:eastAsia="Arial" w:hAnsi="Arial"/>
          <w:color w:val="0A1F2E"/>
          <w:sz w:val="22"/>
          <w:szCs w:val="22"/>
        </w:rPr>
        <w:t xml:space="preserve"> SWP still licensed for vendor feeds it does not strictly need.</w:t>
      </w:r>
    </w:p>
    <w:p>
      <w:pPr>
        <w:pStyle w:val="ListParagraph"/>
        <w:numPr>
          <w:ilvl w:val="0"/>
          <w:numId w:val="4"/>
        </w:numPr>
        <w:spacing w:after="60" w:before="60"/>
      </w:pPr>
      <w:r>
        <w:rPr>
          <w:rFonts w:ascii="Arial" w:cs="Arial" w:eastAsia="Arial" w:hAnsi="Arial"/>
          <w:b/>
          <w:bCs/>
          <w:color w:val="0A1F2E"/>
          <w:sz w:val="22"/>
          <w:szCs w:val="22"/>
        </w:rPr>
        <w:t xml:space="preserve">SEI scope creep risk:</w:t>
      </w:r>
      <w:r>
        <w:rPr>
          <w:rFonts w:ascii="Arial" w:cs="Arial" w:eastAsia="Arial" w:hAnsi="Arial"/>
          <w:color w:val="0A1F2E"/>
          <w:sz w:val="22"/>
          <w:szCs w:val="22"/>
        </w:rPr>
        <w:t xml:space="preserve"> SEI has incentive to keep the SWP pass-thru path alive. Without contractual decommission, this calcifies.</w:t>
      </w:r>
    </w:p>
    <w:p>
      <w:pPr>
        <w:pBdr>
          <w:left w:val="single" w:color="B85C38" w:sz="12" w:space="6"/>
        </w:pBdr>
        <w:shd w:fill="F9ECE5" w:val="clear"/>
        <w:spacing w:after="120" w:before="120"/>
        <w:ind w:left="180"/>
      </w:pPr>
      <w:r>
        <w:rPr>
          <w:rFonts w:ascii="Arial" w:cs="Arial" w:eastAsia="Arial" w:hAnsi="Arial"/>
          <w:i/>
          <w:iCs/>
          <w:color w:val="0A1F2E"/>
          <w:sz w:val="22"/>
          <w:szCs w:val="22"/>
        </w:rPr>
        <w:t xml:space="preserve">Option 3 is only architecturally honest if the ADR explicitly states it is Phase 1 of Option 2, with a written decommission trigger (date, security count, consumer count, or contract milestone).</w:t>
      </w:r>
    </w:p>
    <w:p>
      <w:pPr>
        <w:spacing w:after="0" w:before="0"/>
      </w:pPr>
      <w:r>
        <w:br w:type="page"/>
      </w:r>
    </w:p>
    <w:p>
      <w:pPr>
        <w:pStyle w:val="Heading1"/>
        <w:pBdr>
          <w:bottom w:val="single" w:color="1F5C6B" w:sz="4" w:space="6"/>
        </w:pBdr>
        <w:spacing w:after="180" w:before="360"/>
      </w:pPr>
      <w:r>
        <w:rPr>
          <w:rFonts w:ascii="Arial" w:cs="Arial" w:eastAsia="Arial" w:hAnsi="Arial"/>
          <w:b/>
          <w:bCs/>
          <w:color w:val="0A1F2E"/>
          <w:sz w:val="32"/>
          <w:szCs w:val="32"/>
        </w:rPr>
        <w:t xml:space="preserve">Chapter 9: The Contract-First Strategy — The Move Nobody Named</w:t>
      </w:r>
    </w:p>
    <w:p>
      <w:pPr>
        <w:pStyle w:val="Heading2"/>
        <w:spacing w:after="120" w:before="300"/>
      </w:pPr>
      <w:r>
        <w:rPr>
          <w:rFonts w:ascii="Arial" w:cs="Arial" w:eastAsia="Arial" w:hAnsi="Arial"/>
          <w:b/>
          <w:bCs/>
          <w:color w:val="1F5C6B"/>
          <w:sz w:val="26"/>
          <w:szCs w:val="26"/>
        </w:rPr>
        <w:t xml:space="preserve">The Strategic Insight</w:t>
      </w:r>
    </w:p>
    <w:p>
      <w:pPr>
        <w:spacing w:after="100" w:before="80"/>
        <w:jc w:val="left"/>
      </w:pPr>
      <w:r>
        <w:rPr>
          <w:rFonts w:ascii="Arial" w:cs="Arial" w:eastAsia="Arial" w:hAnsi="Arial"/>
          <w:b w:val="false"/>
          <w:bCs w:val="false"/>
          <w:i w:val="false"/>
          <w:iCs w:val="false"/>
          <w:color w:val="0A1F2E"/>
          <w:sz w:val="22"/>
          <w:szCs w:val="22"/>
        </w:rPr>
        <w:t xml:space="preserve">Every architecture drawn so far — Option 2 with GoldenSource above SWP, hybrid build/buy, the full platform pattern — is structurally correct but tactically heavy. They all assume the firm has the political and financial capital to run two large programs in parallel. That assumption is wrong.</w:t>
      </w:r>
    </w:p>
    <w:p>
      <w:pPr>
        <w:spacing w:after="100" w:before="80"/>
        <w:jc w:val="left"/>
      </w:pPr>
      <w:r>
        <w:rPr>
          <w:rFonts w:ascii="Arial" w:cs="Arial" w:eastAsia="Arial" w:hAnsi="Arial"/>
          <w:b w:val="false"/>
          <w:bCs w:val="false"/>
          <w:i w:val="false"/>
          <w:iCs w:val="false"/>
          <w:color w:val="0A1F2E"/>
          <w:sz w:val="22"/>
          <w:szCs w:val="22"/>
        </w:rPr>
        <w:t xml:space="preserve">The insight is to separate the contract from the master. The firm needs in Year 1 is not GoldenSource — it is the canonical SMF contract: a BBH-owned, versioned, lineage-instrumented schema that consumers code against. Once that contract exists, the question of who masters the data behind it becomes a private implementation detail that can be deferred with discipline.</w:t>
      </w:r>
    </w:p>
    <w:p>
      <w:pPr>
        <w:pBdr>
          <w:left w:val="single" w:color="1F5C6B" w:sz="12" w:space="6"/>
        </w:pBdr>
        <w:shd w:fill="D0E4E8" w:val="clear"/>
        <w:spacing w:after="120" w:before="120"/>
        <w:ind w:left="180"/>
      </w:pPr>
      <w:r>
        <w:rPr>
          <w:rFonts w:ascii="Arial" w:cs="Arial" w:eastAsia="Arial" w:hAnsi="Arial"/>
          <w:i/>
          <w:iCs/>
          <w:color w:val="0A1F2E"/>
          <w:sz w:val="22"/>
          <w:szCs w:val="22"/>
        </w:rPr>
        <w:t xml:space="preserve">Build the SMF Canonical Contract in Year 1. Defer the MDM platform decision to Year 2 with real evidence in hand. SWP cuts over against the contract. The source of truth behind the contract flips from Addvantage to GoldenSource on its own timeline, invisible to SWP and consumers.</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Three Explicit Advantages</w:t>
      </w:r>
    </w:p>
    <w:p>
      <w:pPr>
        <w:pStyle w:val="ListParagraph"/>
        <w:numPr>
          <w:ilvl w:val="0"/>
          <w:numId w:val="9"/>
        </w:numPr>
        <w:spacing w:after="60" w:before="60"/>
      </w:pPr>
      <w:r>
        <w:rPr>
          <w:rFonts w:ascii="Arial" w:cs="Arial" w:eastAsia="Arial" w:hAnsi="Arial"/>
          <w:b/>
          <w:bCs/>
          <w:color w:val="0A1F2E"/>
          <w:sz w:val="22"/>
          <w:szCs w:val="22"/>
        </w:rPr>
        <w:t xml:space="preserve">Optionality has economic value:</w:t>
      </w:r>
      <w:r>
        <w:rPr>
          <w:rFonts w:ascii="Arial" w:cs="Arial" w:eastAsia="Arial" w:hAnsi="Arial"/>
          <w:color w:val="0A1F2E"/>
          <w:sz w:val="22"/>
          <w:szCs w:val="22"/>
        </w:rPr>
        <w:t xml:space="preserve"> Every decision deferred until evidence is in hand is a decision made better. Cost of preserving optionality (the contract layer): small. Value of not being locked into a $30-40M commitment based on architectural philosophy rather than data: large.</w:t>
      </w:r>
    </w:p>
    <w:p>
      <w:pPr>
        <w:pStyle w:val="ListParagraph"/>
        <w:numPr>
          <w:ilvl w:val="0"/>
          <w:numId w:val="9"/>
        </w:numPr>
        <w:spacing w:after="60" w:before="60"/>
      </w:pPr>
      <w:r>
        <w:rPr>
          <w:rFonts w:ascii="Arial" w:cs="Arial" w:eastAsia="Arial" w:hAnsi="Arial"/>
          <w:b/>
          <w:bCs/>
          <w:color w:val="0A1F2E"/>
          <w:sz w:val="22"/>
          <w:szCs w:val="22"/>
        </w:rPr>
        <w:t xml:space="preserve">SWP timeline becomes a near-certainty:</w:t>
      </w:r>
      <w:r>
        <w:rPr>
          <w:rFonts w:ascii="Arial" w:cs="Arial" w:eastAsia="Arial" w:hAnsi="Arial"/>
          <w:color w:val="0A1F2E"/>
          <w:sz w:val="22"/>
          <w:szCs w:val="22"/>
        </w:rPr>
        <w:t xml:space="preserve"> SWP no longer depends on a second program. Single-program critical path is dramatically easier to defend in front of the ARB and CFO than dual-program coordination.</w:t>
      </w:r>
    </w:p>
    <w:p>
      <w:pPr>
        <w:pStyle w:val="ListParagraph"/>
        <w:numPr>
          <w:ilvl w:val="0"/>
          <w:numId w:val="9"/>
        </w:numPr>
        <w:spacing w:after="60" w:before="60"/>
      </w:pPr>
      <w:r>
        <w:rPr>
          <w:rFonts w:ascii="Arial" w:cs="Arial" w:eastAsia="Arial" w:hAnsi="Arial"/>
          <w:b/>
          <w:bCs/>
          <w:color w:val="0A1F2E"/>
          <w:sz w:val="22"/>
          <w:szCs w:val="22"/>
        </w:rPr>
        <w:t xml:space="preserve">MDM launches with evidence and momentum:</w:t>
      </w:r>
      <w:r>
        <w:rPr>
          <w:rFonts w:ascii="Arial" w:cs="Arial" w:eastAsia="Arial" w:hAnsi="Arial"/>
          <w:color w:val="0A1F2E"/>
          <w:sz w:val="22"/>
          <w:szCs w:val="22"/>
        </w:rPr>
        <w:t xml:space="preserve"> When the platform program launches, it launches with real metrics, not with the political baggage of 'the new shiny thing competing with SWP.' This is how Tier-1 institutions actually run multi-year platform programs.</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Year 1 — The Six Work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00"/>
        <w:gridCol w:w="1200"/>
        <w:gridCol w:w="860"/>
      </w:tblGrid>
      <w:tr>
        <w:tc>
          <w:tcPr>
            <w:tcW w:type="dxa" w:w="35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Work Block</w:t>
            </w:r>
          </w:p>
        </w:tc>
        <w:tc>
          <w:tcPr>
            <w:tcW w:type="dxa" w:w="38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What Gets Built</w:t>
            </w:r>
          </w:p>
        </w:tc>
        <w:tc>
          <w:tcPr>
            <w:tcW w:type="dxa" w:w="12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Timeline</w:t>
            </w:r>
          </w:p>
        </w:tc>
        <w:tc>
          <w:tcPr>
            <w:tcW w:type="dxa" w:w="86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Eng-Qtrs</w:t>
            </w:r>
          </w:p>
        </w:tc>
      </w:tr>
      <w:tr>
        <w:tc>
          <w:tcPr>
            <w:tcW w:type="dxa" w:w="35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0A1F2E"/>
                <w:sz w:val="20"/>
                <w:szCs w:val="20"/>
              </w:rPr>
              <w:t xml:space="preserve">SMF Canonical Contract — schema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Versioned dbt-Oracle schema, attribute-level provenance, bitemporal columns, OpenLineage instrumented. Reuses the three-layer dbt pattern.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M1-M9</w:t>
            </w:r>
          </w:p>
        </w:tc>
        <w:tc>
          <w:tcPr>
            <w:tcW w:type="dxa" w:w="86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1F5C6B"/>
                <w:sz w:val="20"/>
                <w:szCs w:val="20"/>
              </w:rPr>
              <w:t xml:space="preserve">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1F2E"/>
                <w:sz w:val="20"/>
                <w:szCs w:val="20"/>
              </w:rPr>
              <w:t xml:space="preserve">Thin mastering layer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Python services for match (deterministic + probabilistic) and survive (attribute-level precedence). Confidence scoring writes to steward review queue.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M3-M12</w:t>
            </w:r>
          </w:p>
        </w:tc>
        <w:tc>
          <w:tcPr>
            <w:tcW w:type="dxa" w:w="86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1F5C6B"/>
                <w:sz w:val="20"/>
                <w:szCs w:val="20"/>
              </w:rPr>
              <w:t xml:space="preserve">3</w:t>
            </w:r>
          </w:p>
        </w:tc>
      </w:tr>
      <w:tr>
        <w:tc>
          <w:tcPr>
            <w:tcW w:type="dxa" w:w="35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0A1F2E"/>
                <w:sz w:val="20"/>
                <w:szCs w:val="20"/>
              </w:rPr>
              <w:t xml:space="preserve">Override engine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Lifecycle-managed overrides (Create/Review/Approve/Active/Expiry/Archive). Auto-retirement when vendor coverage appears. Audit log to Splunk.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M4-M10</w:t>
            </w:r>
          </w:p>
        </w:tc>
        <w:tc>
          <w:tcPr>
            <w:tcW w:type="dxa" w:w="86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1F5C6B"/>
                <w:sz w:val="20"/>
                <w:szCs w:val="20"/>
              </w:rPr>
              <w:t xml:space="preserve">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1F2E"/>
                <w:sz w:val="20"/>
                <w:szCs w:val="20"/>
              </w:rPr>
              <w:t xml:space="preserve">Steward console — focused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Conflict resolution and override management only. Reuses VS Code extension patterns and Plan-then-Execute agent. Built to be replaced or extended in Y2.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M4-M10</w:t>
            </w:r>
          </w:p>
        </w:tc>
        <w:tc>
          <w:tcPr>
            <w:tcW w:type="dxa" w:w="86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1F5C6B"/>
                <w:sz w:val="20"/>
                <w:szCs w:val="20"/>
              </w:rPr>
              <w:t xml:space="preserve">2</w:t>
            </w:r>
          </w:p>
        </w:tc>
      </w:tr>
      <w:tr>
        <w:tc>
          <w:tcPr>
            <w:tcW w:type="dxa" w:w="35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0A1F2E"/>
                <w:sz w:val="20"/>
                <w:szCs w:val="20"/>
              </w:rPr>
              <w:t xml:space="preserve">SWP integration adapter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BBH-owned translator from canonical contract → SWP loader format. SWP cuts over against the adapter. Source behind it changes from Addvantage to GoldenSource without SWP noticing.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M6-M12</w:t>
            </w:r>
          </w:p>
        </w:tc>
        <w:tc>
          <w:tcPr>
            <w:tcW w:type="dxa" w:w="86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1F5C6B"/>
                <w:sz w:val="20"/>
                <w:szCs w:val="20"/>
              </w:rPr>
              <w:t xml:space="preserve">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1F2E"/>
                <w:sz w:val="20"/>
                <w:szCs w:val="20"/>
              </w:rPr>
              <w:t xml:space="preserve">Publishing layer (incremental)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REST + Kafka + EOD snapshots from the canonical layer. Three-channel pattern already in scope for the SEI Data Hub program; this is the SMF-specific extension.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M7-M12</w:t>
            </w:r>
          </w:p>
        </w:tc>
        <w:tc>
          <w:tcPr>
            <w:tcW w:type="dxa" w:w="86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bCs/>
                <w:color w:val="1F5C6B"/>
                <w:sz w:val="20"/>
                <w:szCs w:val="20"/>
              </w:rPr>
              <w:t xml:space="preserve">1</w:t>
            </w:r>
          </w:p>
        </w:tc>
      </w:tr>
      <w:tr>
        <w:tc>
          <w:tcPr>
            <w:tcW w:type="dxa" w:w="3500"/>
            <w:tcBorders>
              <w:top w:val="single" w:color="CCCCCC" w:sz="1"/>
              <w:left w:val="single" w:color="CCCCCC" w:sz="1"/>
              <w:bottom w:val="single" w:color="CCCCCC" w:sz="1"/>
              <w:right w:val="single" w:color="CCCCCC" w:sz="1"/>
            </w:tcBorders>
            <w:shd w:fill="D0E4E8" w:val="clear"/>
            <w:tcMar>
              <w:top w:type="dxa" w:w="80"/>
              <w:left w:type="dxa" w:w="120"/>
              <w:bottom w:type="dxa" w:w="80"/>
              <w:right w:type="dxa" w:w="120"/>
            </w:tcMar>
          </w:tcPr>
          <w:p>
            <w:r>
              <w:rPr>
                <w:rFonts w:ascii="Arial" w:cs="Arial" w:eastAsia="Arial" w:hAnsi="Arial"/>
                <w:b/>
                <w:bCs/>
                <w:color w:val="1F5C6B"/>
                <w:sz w:val="20"/>
                <w:szCs w:val="20"/>
              </w:rPr>
              <w:t xml:space="preserve">TOTAL</w:t>
            </w:r>
          </w:p>
        </w:tc>
        <w:tc>
          <w:tcPr>
            <w:tcW w:type="dxa" w:w="3800"/>
            <w:tcBorders>
              <w:top w:val="single" w:color="CCCCCC" w:sz="1"/>
              <w:left w:val="single" w:color="CCCCCC" w:sz="1"/>
              <w:bottom w:val="single" w:color="CCCCCC" w:sz="1"/>
              <w:right w:val="single" w:color="CCCCCC" w:sz="1"/>
            </w:tcBorders>
            <w:shd w:fill="D0E4E8" w:val="clear"/>
            <w:tcMar>
              <w:top w:type="dxa" w:w="80"/>
              <w:left w:type="dxa" w:w="120"/>
              <w:bottom w:type="dxa" w:w="80"/>
              <w:right w:type="dxa" w:w="120"/>
            </w:tcMar>
          </w:tcPr>
          <w:p>
            <w:r>
              <w:rPr>
                <w:rFonts w:ascii="Arial" w:cs="Arial" w:eastAsia="Arial" w:hAnsi="Arial"/>
                <w:b w:val="false"/>
                <w:bCs w:val="false"/>
                <w:color w:val="0A1F2E"/>
                <w:sz w:val="20"/>
                <w:szCs w:val="20"/>
              </w:rPr>
              <w:t xml:space="preserve">~3 FTE for 12 months. Fundable inside the SWP program envelope. No new budget ask.</w:t>
            </w:r>
          </w:p>
        </w:tc>
        <w:tc>
          <w:tcPr>
            <w:tcW w:type="dxa" w:w="1200"/>
            <w:tcBorders>
              <w:top w:val="single" w:color="CCCCCC" w:sz="1"/>
              <w:left w:val="single" w:color="CCCCCC" w:sz="1"/>
              <w:bottom w:val="single" w:color="CCCCCC" w:sz="1"/>
              <w:right w:val="single" w:color="CCCCCC" w:sz="1"/>
            </w:tcBorders>
            <w:shd w:fill="D0E4E8" w:val="clear"/>
            <w:tcMar>
              <w:top w:type="dxa" w:w="80"/>
              <w:left w:type="dxa" w:w="120"/>
              <w:bottom w:type="dxa" w:w="80"/>
              <w:right w:type="dxa" w:w="120"/>
            </w:tcMar>
          </w:tcPr>
          <w:p>
            <w:r>
              <w:rPr>
                <w:rFonts w:ascii="Arial" w:cs="Arial" w:eastAsia="Arial" w:hAnsi="Arial"/>
                <w:b w:val="false"/>
                <w:bCs w:val="false"/>
                <w:color w:val="0A1F2E"/>
                <w:sz w:val="20"/>
                <w:szCs w:val="20"/>
              </w:rPr>
              <w:t xml:space="preserve">M1-M12</w:t>
            </w:r>
          </w:p>
        </w:tc>
        <w:tc>
          <w:tcPr>
            <w:tcW w:type="dxa" w:w="860"/>
            <w:tcBorders>
              <w:top w:val="single" w:color="CCCCCC" w:sz="1"/>
              <w:left w:val="single" w:color="CCCCCC" w:sz="1"/>
              <w:bottom w:val="single" w:color="CCCCCC" w:sz="1"/>
              <w:right w:val="single" w:color="CCCCCC" w:sz="1"/>
            </w:tcBorders>
            <w:shd w:fill="D0E4E8" w:val="clear"/>
            <w:tcMar>
              <w:top w:type="dxa" w:w="80"/>
              <w:left w:type="dxa" w:w="120"/>
              <w:bottom w:type="dxa" w:w="80"/>
              <w:right w:type="dxa" w:w="120"/>
            </w:tcMar>
          </w:tcPr>
          <w:p>
            <w:r>
              <w:rPr>
                <w:rFonts w:ascii="Arial" w:cs="Arial" w:eastAsia="Arial" w:hAnsi="Arial"/>
                <w:b/>
                <w:bCs/>
                <w:color w:val="1F5C6B"/>
                <w:sz w:val="20"/>
                <w:szCs w:val="20"/>
              </w:rPr>
              <w:t xml:space="preserve">12</w:t>
            </w:r>
          </w:p>
        </w:tc>
      </w:tr>
    </w:tbl>
    <w:p>
      <w:pPr>
        <w:spacing w:after="60" w:before="60"/>
      </w:pPr>
      <w:r>
        <w:t xml:space="preserve"/>
      </w:r>
    </w:p>
    <w:p>
      <w:pPr>
        <w:pStyle w:val="Heading2"/>
        <w:spacing w:after="120" w:before="300"/>
      </w:pPr>
      <w:r>
        <w:rPr>
          <w:rFonts w:ascii="Arial" w:cs="Arial" w:eastAsia="Arial" w:hAnsi="Arial"/>
          <w:b/>
          <w:bCs/>
          <w:color w:val="1F5C6B"/>
          <w:sz w:val="26"/>
          <w:szCs w:val="26"/>
        </w:rPr>
        <w:t xml:space="preserve">Year 2 — Three Plausible Platform Decisions</w:t>
      </w:r>
    </w:p>
    <w:p>
      <w:pPr>
        <w:pStyle w:val="ListParagraph"/>
        <w:numPr>
          <w:ilvl w:val="0"/>
          <w:numId w:val="4"/>
        </w:numPr>
        <w:spacing w:after="60" w:before="60"/>
      </w:pPr>
      <w:r>
        <w:rPr>
          <w:rFonts w:ascii="Arial" w:cs="Arial" w:eastAsia="Arial" w:hAnsi="Arial"/>
          <w:b/>
          <w:bCs/>
          <w:color w:val="0A1F2E"/>
          <w:sz w:val="22"/>
          <w:szCs w:val="22"/>
        </w:rPr>
        <w:t xml:space="preserve">Answer A — GoldenSource:</w:t>
      </w:r>
      <w:r>
        <w:rPr>
          <w:rFonts w:ascii="Arial" w:cs="Arial" w:eastAsia="Arial" w:hAnsi="Arial"/>
          <w:color w:val="0A1F2E"/>
          <w:sz w:val="22"/>
          <w:szCs w:val="22"/>
        </w:rPr>
        <w:t xml:space="preserve"> If reconciliation pain is high, override volumes are large, and Counterparty MDM is on the Y3 roadmap. Buy GoldenSource. The contract layer means it slots behind it without disrupting SWP or consumers. Strongest case: vendor-loader breadth and bank-loan coverage.</w:t>
      </w:r>
    </w:p>
    <w:p>
      <w:pPr>
        <w:pStyle w:val="ListParagraph"/>
        <w:numPr>
          <w:ilvl w:val="0"/>
          <w:numId w:val="4"/>
        </w:numPr>
        <w:spacing w:after="60" w:before="60"/>
      </w:pPr>
      <w:r>
        <w:rPr>
          <w:rFonts w:ascii="Arial" w:cs="Arial" w:eastAsia="Arial" w:hAnsi="Arial"/>
          <w:b/>
          <w:bCs/>
          <w:color w:val="0A1F2E"/>
          <w:sz w:val="22"/>
          <w:szCs w:val="22"/>
        </w:rPr>
        <w:t xml:space="preserve">Answer B — Custom Enhanced:</w:t>
      </w:r>
      <w:r>
        <w:rPr>
          <w:rFonts w:ascii="Arial" w:cs="Arial" w:eastAsia="Arial" w:hAnsi="Arial"/>
          <w:color w:val="0A1F2E"/>
          <w:sz w:val="22"/>
          <w:szCs w:val="22"/>
        </w:rPr>
        <w:t xml:space="preserve"> If the contract layer is delivering 80%+ of the value, invest the GoldenSource license budget in extending what has been built. Bitemporal performance optimization, richer match engine, ML-assisted matching using the transformer-embedding work already piloted. Smaller investment, no vendor lock-in.</w:t>
      </w:r>
    </w:p>
    <w:p>
      <w:pPr>
        <w:pStyle w:val="ListParagraph"/>
        <w:numPr>
          <w:ilvl w:val="0"/>
          <w:numId w:val="4"/>
        </w:numPr>
        <w:spacing w:after="60" w:before="60"/>
      </w:pPr>
      <w:r>
        <w:rPr>
          <w:rFonts w:ascii="Arial" w:cs="Arial" w:eastAsia="Arial" w:hAnsi="Arial"/>
          <w:b/>
          <w:bCs/>
          <w:color w:val="0A1F2E"/>
          <w:sz w:val="22"/>
          <w:szCs w:val="22"/>
        </w:rPr>
        <w:t xml:space="preserve">Answer C — Hybrid:</w:t>
      </w:r>
      <w:r>
        <w:rPr>
          <w:rFonts w:ascii="Arial" w:cs="Arial" w:eastAsia="Arial" w:hAnsi="Arial"/>
          <w:color w:val="0A1F2E"/>
          <w:sz w:val="22"/>
          <w:szCs w:val="22"/>
        </w:rPr>
        <w:t xml:space="preserve"> GoldenSource for vendor-loader breadth and Counterparty (purpose-built, better than custom). Custom for BBH-specific instrument types and steward UX. Most likely the right answer based on industry experience at Tier-1 custodians.</w:t>
      </w:r>
    </w:p>
    <w:p>
      <w:pPr>
        <w:pBdr>
          <w:left w:val="single" w:color="1F5C6B" w:sz="12" w:space="6"/>
        </w:pBdr>
        <w:shd w:fill="D0E4E8" w:val="clear"/>
        <w:spacing w:after="120" w:before="120"/>
        <w:ind w:left="180"/>
      </w:pPr>
      <w:r>
        <w:rPr>
          <w:rFonts w:ascii="Arial" w:cs="Arial" w:eastAsia="Arial" w:hAnsi="Arial"/>
          <w:i/>
          <w:iCs/>
          <w:color w:val="0A1F2E"/>
          <w:sz w:val="22"/>
          <w:szCs w:val="22"/>
        </w:rPr>
        <w:t xml:space="preserve">All three answers are still available in Year 2. The Year 1 decision (build the contract) does not foreclose any of them. The current Option 2 architecture commits to GoldenSource in Year 1 and forecloses the alternatives.</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60"/>
      </w:tblGrid>
      <w:tr>
        <w:tc>
          <w:tcPr>
            <w:tcW w:type="dxa" w:w="30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Cost Item</w:t>
            </w:r>
          </w:p>
        </w:tc>
        <w:tc>
          <w:tcPr>
            <w:tcW w:type="dxa" w:w="21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Option 2 Y1</w:t>
            </w:r>
          </w:p>
        </w:tc>
        <w:tc>
          <w:tcPr>
            <w:tcW w:type="dxa" w:w="21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Contract-First Y1</w:t>
            </w:r>
          </w:p>
        </w:tc>
        <w:tc>
          <w:tcPr>
            <w:tcW w:type="dxa" w:w="216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Y1 Saving</w:t>
            </w:r>
          </w:p>
        </w:tc>
      </w:tr>
      <w:tr>
        <w:tc>
          <w:tcPr>
            <w:tcW w:type="dxa" w:w="30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GoldenSource license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$1-3M annual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4F"/>
                <w:sz w:val="20"/>
                <w:szCs w:val="20"/>
              </w:rPr>
              <w:t xml:space="preserve">$0 (deferred)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20"/>
                <w:szCs w:val="20"/>
              </w:rPr>
              <w:t xml:space="preserve">$1-3M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GoldenSource implementation services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$2-5M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4F"/>
                <w:sz w:val="20"/>
                <w:szCs w:val="20"/>
              </w:rPr>
              <w:t xml:space="preserve">$0 (deferred)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20"/>
                <w:szCs w:val="20"/>
              </w:rPr>
              <w:t xml:space="preserve">$2-5M</w:t>
            </w:r>
          </w:p>
        </w:tc>
      </w:tr>
      <w:tr>
        <w:tc>
          <w:tcPr>
            <w:tcW w:type="dxa" w:w="30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Internal engineering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15-25 FTE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4F"/>
                <w:sz w:val="20"/>
                <w:szCs w:val="20"/>
              </w:rPr>
              <w:t xml:space="preserve">3 FTE for contract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20"/>
                <w:szCs w:val="20"/>
              </w:rPr>
              <w:t xml:space="preserve">$2-3M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Operating model program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Started Y1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4F"/>
                <w:sz w:val="20"/>
                <w:szCs w:val="20"/>
              </w:rPr>
              <w:t xml:space="preserve">Deferred to Y2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20"/>
                <w:szCs w:val="20"/>
              </w:rPr>
              <w:t xml:space="preserve">~$1M</w:t>
            </w:r>
          </w:p>
        </w:tc>
      </w:tr>
      <w:tr>
        <w:tc>
          <w:tcPr>
            <w:tcW w:type="dxa" w:w="30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Dual-program coordination overhead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~10-15% of program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4F"/>
                <w:sz w:val="20"/>
                <w:szCs w:val="20"/>
              </w:rPr>
              <w:t xml:space="preserve">~0%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20"/>
                <w:szCs w:val="20"/>
              </w:rPr>
              <w:t xml:space="preserve">~$1-2M</w:t>
            </w:r>
          </w:p>
        </w:tc>
      </w:tr>
      <w:tr>
        <w:tc>
          <w:tcPr>
            <w:tcW w:type="dxa" w:w="3000"/>
            <w:tcBorders>
              <w:top w:val="single" w:color="CCCCCC" w:sz="1"/>
              <w:left w:val="single" w:color="CCCCCC" w:sz="1"/>
              <w:bottom w:val="single" w:color="CCCCCC" w:sz="1"/>
              <w:right w:val="single" w:color="CCCCCC" w:sz="1"/>
            </w:tcBorders>
            <w:shd w:fill="D0E4E8" w:val="clear"/>
            <w:tcMar>
              <w:top w:type="dxa" w:w="80"/>
              <w:left w:type="dxa" w:w="120"/>
              <w:bottom w:type="dxa" w:w="80"/>
              <w:right w:type="dxa" w:w="120"/>
            </w:tcMar>
          </w:tcPr>
          <w:p>
            <w:r>
              <w:rPr>
                <w:rFonts w:ascii="Arial" w:cs="Arial" w:eastAsia="Arial" w:hAnsi="Arial"/>
                <w:b/>
                <w:bCs/>
                <w:color w:val="1F5C6B"/>
                <w:sz w:val="20"/>
                <w:szCs w:val="20"/>
              </w:rPr>
              <w:t xml:space="preserve">TOTAL YEAR 1 SAVING</w:t>
            </w:r>
          </w:p>
        </w:tc>
        <w:tc>
          <w:tcPr>
            <w:tcW w:type="dxa" w:w="2100"/>
            <w:tcBorders>
              <w:top w:val="single" w:color="CCCCCC" w:sz="1"/>
              <w:left w:val="single" w:color="CCCCCC" w:sz="1"/>
              <w:bottom w:val="single" w:color="CCCCCC" w:sz="1"/>
              <w:right w:val="single" w:color="CCCCCC" w:sz="1"/>
            </w:tcBorders>
            <w:shd w:fill="D0E4E8" w:val="clear"/>
            <w:tcMar>
              <w:top w:type="dxa" w:w="80"/>
              <w:left w:type="dxa" w:w="120"/>
              <w:bottom w:type="dxa" w:w="80"/>
              <w:right w:type="dxa" w:w="120"/>
            </w:tcMar>
          </w:tcPr>
          <w:p>
            <w:r>
              <w:rPr>
                <w:rFonts w:ascii="Arial" w:cs="Arial" w:eastAsia="Arial" w:hAnsi="Arial"/>
                <w:b w:val="false"/>
                <w:bCs w:val="false"/>
                <w:color w:val="0A1F2E"/>
                <w:sz w:val="20"/>
                <w:szCs w:val="20"/>
              </w:rPr>
              <w:t xml:space="preserve"/>
            </w:r>
          </w:p>
        </w:tc>
        <w:tc>
          <w:tcPr>
            <w:tcW w:type="dxa" w:w="2100"/>
            <w:tcBorders>
              <w:top w:val="single" w:color="CCCCCC" w:sz="1"/>
              <w:left w:val="single" w:color="CCCCCC" w:sz="1"/>
              <w:bottom w:val="single" w:color="CCCCCC" w:sz="1"/>
              <w:right w:val="single" w:color="CCCCCC" w:sz="1"/>
            </w:tcBorders>
            <w:shd w:fill="D0E4E8" w:val="clear"/>
            <w:tcMar>
              <w:top w:type="dxa" w:w="80"/>
              <w:left w:type="dxa" w:w="120"/>
              <w:bottom w:type="dxa" w:w="80"/>
              <w:right w:type="dxa" w:w="120"/>
            </w:tcMar>
          </w:tcPr>
          <w:p>
            <w:r>
              <w:rPr>
                <w:rFonts w:ascii="Arial" w:cs="Arial" w:eastAsia="Arial" w:hAnsi="Arial"/>
                <w:b w:val="false"/>
                <w:bCs w:val="false"/>
                <w:color w:val="0A1F2E"/>
                <w:sz w:val="20"/>
                <w:szCs w:val="20"/>
              </w:rPr>
              <w:t xml:space="preserve"/>
            </w:r>
          </w:p>
        </w:tc>
        <w:tc>
          <w:tcPr>
            <w:tcW w:type="dxa" w:w="2160"/>
            <w:tcBorders>
              <w:top w:val="single" w:color="CCCCCC" w:sz="1"/>
              <w:left w:val="single" w:color="CCCCCC" w:sz="1"/>
              <w:bottom w:val="single" w:color="CCCCCC" w:sz="1"/>
              <w:right w:val="single" w:color="CCCCCC" w:sz="1"/>
            </w:tcBorders>
            <w:shd w:fill="D0E4E8" w:val="clear"/>
            <w:tcMar>
              <w:top w:type="dxa" w:w="80"/>
              <w:left w:type="dxa" w:w="120"/>
              <w:bottom w:type="dxa" w:w="80"/>
              <w:right w:type="dxa" w:w="120"/>
            </w:tcMar>
          </w:tcPr>
          <w:p>
            <w:r>
              <w:rPr>
                <w:rFonts w:ascii="Arial" w:cs="Arial" w:eastAsia="Arial" w:hAnsi="Arial"/>
                <w:b/>
                <w:bCs/>
                <w:color w:val="1F5C6B"/>
                <w:sz w:val="20"/>
                <w:szCs w:val="20"/>
              </w:rPr>
              <w:t xml:space="preserve">$5-10M</w:t>
            </w:r>
          </w:p>
        </w:tc>
      </w:tr>
    </w:tbl>
    <w:p>
      <w:pPr>
        <w:spacing w:after="60" w:before="60"/>
      </w:pPr>
      <w:r>
        <w:t xml:space="preserve"/>
      </w:r>
    </w:p>
    <w:p>
      <w:pPr>
        <w:pStyle w:val="Heading2"/>
        <w:spacing w:after="120" w:before="300"/>
      </w:pPr>
      <w:r>
        <w:rPr>
          <w:rFonts w:ascii="Arial" w:cs="Arial" w:eastAsia="Arial" w:hAnsi="Arial"/>
          <w:b/>
          <w:bCs/>
          <w:color w:val="1F5C6B"/>
          <w:sz w:val="26"/>
          <w:szCs w:val="26"/>
        </w:rPr>
        <w:t xml:space="preserve">Objections and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Objection</w:t>
            </w:r>
          </w:p>
        </w:tc>
        <w:tc>
          <w:tcPr>
            <w:tcW w:type="dxa" w:w="5560"/>
            <w:tcBorders>
              <w:top w:val="single" w:color="CCCCCC" w:sz="1"/>
              <w:left w:val="single" w:color="CCCCCC" w:sz="1"/>
              <w:bottom w:val="single" w:color="CCCCCC" w:sz="1"/>
              <w:right w:val="single" w:color="CCCCCC" w:sz="1"/>
            </w:tcBorders>
            <w:shd w:fill="1F5C6B" w:val="clear"/>
            <w:tcMar>
              <w:top w:type="dxa" w:w="80"/>
              <w:left w:type="dxa" w:w="120"/>
              <w:bottom w:type="dxa" w:w="80"/>
              <w:right w:type="dxa" w:w="120"/>
            </w:tcMar>
          </w:tcPr>
          <w:p>
            <w:r>
              <w:rPr>
                <w:rFonts w:ascii="Arial" w:cs="Arial" w:eastAsia="Arial" w:hAnsi="Arial"/>
                <w:b/>
                <w:bCs/>
                <w:color w:val="FFFFFF"/>
                <w:sz w:val="19"/>
                <w:szCs w:val="19"/>
              </w:rPr>
              <w:t xml:space="preserve">Answer</w:t>
            </w:r>
          </w:p>
        </w:tc>
      </w:tr>
      <w:tr>
        <w:tc>
          <w:tcPr>
            <w:tcW w:type="dxa" w:w="38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This is just deferring the hard decision.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The contract decision is being made now, with conviction. That is the harder architectural choice. The platform choice is downstream of it and benefits enormously from evidence.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We need a real MDM, not a thin mastering layer.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Year 1 builds enough mastering to be honest about data quality. The full platform decision happens in Year 2 with evidence on what BBH's specific data actually requires.</w:t>
            </w:r>
          </w:p>
        </w:tc>
      </w:tr>
      <w:tr>
        <w:tc>
          <w:tcPr>
            <w:tcW w:type="dxa" w:w="38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GoldenSource gives us pre-built vendor loaders.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Correct, and that is the strongest reason to buy. Year 2 evidence confirms whether the vendor-loader breadth is worth the license cost. If yes, GoldenSource lands behind the contract in Y3.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We lose a year if the answer is GoldenSource.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Not lost. The contract built in Y1 is the load-bearing layer regardless. GoldenSource Y3 lands behind it. The implementation is the same as original Option 2, shifted later — with SWP already live and engineering capacity freed.</w:t>
            </w:r>
          </w:p>
        </w:tc>
      </w:tr>
      <w:tr>
        <w:tc>
          <w:tcPr>
            <w:tcW w:type="dxa" w:w="3800"/>
            <w:tcBorders>
              <w:top w:val="single" w:color="CCCCCC" w:sz="1"/>
              <w:left w:val="single" w:color="CCCCCC" w:sz="1"/>
              <w:bottom w:val="single" w:color="CCCCCC" w:sz="1"/>
              <w:right w:val="single" w:color="CCCCCC" w:sz="1"/>
            </w:tcBorders>
            <w:shd w:fill="F4EFEA" w:val="clear"/>
            <w:tcMar>
              <w:top w:type="dxa" w:w="80"/>
              <w:left w:type="dxa" w:w="120"/>
              <w:bottom w:type="dxa" w:w="80"/>
              <w:right w:type="dxa" w:w="120"/>
            </w:tcMar>
          </w:tcPr>
          <w:p>
            <w:r>
              <w:rPr>
                <w:rFonts w:ascii="Arial" w:cs="Arial" w:eastAsia="Arial" w:hAnsi="Arial"/>
                <w:b w:val="false"/>
                <w:bCs w:val="false"/>
                <w:color w:val="0A1F2E"/>
                <w:sz w:val="20"/>
                <w:szCs w:val="20"/>
              </w:rPr>
              <w:t xml:space="preserve">NYDFS won't accept a contract-with-light-mastering.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Examiner feedback is part of the Y1 evidence base. The contract has full lineage, attribute-level provenance, override audit, and bitemporal restatement. Pre-brief NYDFS early.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This is just kicking the can.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1F2E"/>
                <w:sz w:val="20"/>
                <w:szCs w:val="20"/>
              </w:rPr>
              <w:t xml:space="preserve">Cans get kicked when no decision is made. Here we make three concrete commitments: contract built Y1, platform decision made Y2 on defined criteria, platform implementation Y3-4.</w:t>
            </w:r>
          </w:p>
        </w:tc>
      </w:tr>
    </w:tbl>
    <w:p>
      <w:pPr>
        <w:spacing w:after="0" w:before="0"/>
      </w:pPr>
      <w:r>
        <w:br w:type="page"/>
      </w:r>
    </w:p>
    <w:p>
      <w:pPr>
        <w:pStyle w:val="Heading1"/>
        <w:pBdr>
          <w:bottom w:val="single" w:color="1F5C6B" w:sz="4" w:space="6"/>
        </w:pBdr>
        <w:spacing w:after="180" w:before="360"/>
      </w:pPr>
      <w:r>
        <w:rPr>
          <w:rFonts w:ascii="Arial" w:cs="Arial" w:eastAsia="Arial" w:hAnsi="Arial"/>
          <w:b/>
          <w:bCs/>
          <w:color w:val="0A1F2E"/>
          <w:sz w:val="32"/>
          <w:szCs w:val="32"/>
        </w:rPr>
        <w:t xml:space="preserve">Chapter 10: Business &amp; Implementation Challenges</w:t>
      </w:r>
    </w:p>
    <w:p>
      <w:pPr>
        <w:pStyle w:val="Heading2"/>
        <w:spacing w:after="120" w:before="300"/>
      </w:pPr>
      <w:r>
        <w:rPr>
          <w:rFonts w:ascii="Arial" w:cs="Arial" w:eastAsia="Arial" w:hAnsi="Arial"/>
          <w:b/>
          <w:bCs/>
          <w:color w:val="1F5C6B"/>
          <w:sz w:val="26"/>
          <w:szCs w:val="26"/>
        </w:rPr>
        <w:t xml:space="preserve">Business Challenges — Option 2 Strategic</w:t>
      </w:r>
    </w:p>
    <w:p>
      <w:pPr>
        <w:pStyle w:val="ListParagraph"/>
        <w:numPr>
          <w:ilvl w:val="0"/>
          <w:numId w:val="10"/>
        </w:numPr>
        <w:spacing w:after="60" w:before="60"/>
      </w:pPr>
      <w:r>
        <w:rPr>
          <w:rFonts w:ascii="Arial" w:cs="Arial" w:eastAsia="Arial" w:hAnsi="Arial"/>
          <w:b/>
          <w:bCs/>
          <w:color w:val="0A1F2E"/>
          <w:sz w:val="22"/>
          <w:szCs w:val="22"/>
        </w:rPr>
        <w:t xml:space="preserve">Operating model consolidation:</w:t>
      </w:r>
      <w:r>
        <w:rPr>
          <w:rFonts w:ascii="Arial" w:cs="Arial" w:eastAsia="Arial" w:hAnsi="Arial"/>
          <w:color w:val="0A1F2E"/>
          <w:sz w:val="22"/>
          <w:szCs w:val="22"/>
        </w:rPr>
        <w:t xml:space="preserve"> One CP SMF stewardship team replacing PB SMF and IM SMF. Reporting line decision. RACI. This is an 18-month change management lift — much harder than the technology.</w:t>
      </w:r>
    </w:p>
    <w:p>
      <w:pPr>
        <w:pStyle w:val="ListParagraph"/>
        <w:numPr>
          <w:ilvl w:val="0"/>
          <w:numId w:val="10"/>
        </w:numPr>
        <w:spacing w:after="60" w:before="60"/>
      </w:pPr>
      <w:r>
        <w:rPr>
          <w:rFonts w:ascii="Arial" w:cs="Arial" w:eastAsia="Arial" w:hAnsi="Arial"/>
          <w:b/>
          <w:bCs/>
          <w:color w:val="0A1F2E"/>
          <w:sz w:val="22"/>
          <w:szCs w:val="22"/>
        </w:rPr>
        <w:t xml:space="preserve">Executive sponsorship:</w:t>
      </w:r>
      <w:r>
        <w:rPr>
          <w:rFonts w:ascii="Arial" w:cs="Arial" w:eastAsia="Arial" w:hAnsi="Arial"/>
          <w:color w:val="0A1F2E"/>
          <w:sz w:val="22"/>
          <w:szCs w:val="22"/>
        </w:rPr>
        <w:t xml:space="preserve"> Named individual at executive level, not a committee. MDM programs without named sponsors have a 60-70% failure rate (Gartner). Non-negotiable.</w:t>
      </w:r>
    </w:p>
    <w:p>
      <w:pPr>
        <w:pStyle w:val="ListParagraph"/>
        <w:numPr>
          <w:ilvl w:val="0"/>
          <w:numId w:val="10"/>
        </w:numPr>
        <w:spacing w:after="60" w:before="60"/>
      </w:pPr>
      <w:r>
        <w:rPr>
          <w:rFonts w:ascii="Arial" w:cs="Arial" w:eastAsia="Arial" w:hAnsi="Arial"/>
          <w:b/>
          <w:bCs/>
          <w:color w:val="0A1F2E"/>
          <w:sz w:val="22"/>
          <w:szCs w:val="22"/>
        </w:rPr>
        <w:t xml:space="preserve">Timeline commitment:</w:t>
      </w:r>
      <w:r>
        <w:rPr>
          <w:rFonts w:ascii="Arial" w:cs="Arial" w:eastAsia="Arial" w:hAnsi="Arial"/>
          <w:color w:val="0A1F2E"/>
          <w:sz w:val="22"/>
          <w:szCs w:val="22"/>
        </w:rPr>
        <w:t xml:space="preserve"> 24-36 months for Phase 1. Anyone promising under 18 months is underselling the org change.</w:t>
      </w:r>
    </w:p>
    <w:p>
      <w:pPr>
        <w:pStyle w:val="ListParagraph"/>
        <w:numPr>
          <w:ilvl w:val="0"/>
          <w:numId w:val="10"/>
        </w:numPr>
        <w:spacing w:after="60" w:before="60"/>
      </w:pPr>
      <w:r>
        <w:rPr>
          <w:rFonts w:ascii="Arial" w:cs="Arial" w:eastAsia="Arial" w:hAnsi="Arial"/>
          <w:b/>
          <w:bCs/>
          <w:color w:val="0A1F2E"/>
          <w:sz w:val="22"/>
          <w:szCs w:val="22"/>
        </w:rPr>
        <w:t xml:space="preserve">Vendor consolidation politics:</w:t>
      </w:r>
      <w:r>
        <w:rPr>
          <w:rFonts w:ascii="Arial" w:cs="Arial" w:eastAsia="Arial" w:hAnsi="Arial"/>
          <w:color w:val="0A1F2E"/>
          <w:sz w:val="22"/>
          <w:szCs w:val="22"/>
        </w:rPr>
        <w:t xml:space="preserve"> IDC and Bloomberg have entrenched relationships. FI analytics teams will fight Bloomberg removal. Need exec air cover.</w:t>
      </w:r>
    </w:p>
    <w:p>
      <w:pPr>
        <w:pStyle w:val="ListParagraph"/>
        <w:numPr>
          <w:ilvl w:val="0"/>
          <w:numId w:val="10"/>
        </w:numPr>
        <w:spacing w:after="60" w:before="60"/>
      </w:pPr>
      <w:r>
        <w:rPr>
          <w:rFonts w:ascii="Arial" w:cs="Arial" w:eastAsia="Arial" w:hAnsi="Arial"/>
          <w:b/>
          <w:bCs/>
          <w:color w:val="0A1F2E"/>
          <w:sz w:val="22"/>
          <w:szCs w:val="22"/>
        </w:rPr>
        <w:t xml:space="preserve">Budget discipline:</w:t>
      </w:r>
      <w:r>
        <w:rPr>
          <w:rFonts w:ascii="Arial" w:cs="Arial" w:eastAsia="Arial" w:hAnsi="Arial"/>
          <w:color w:val="0A1F2E"/>
          <w:sz w:val="22"/>
          <w:szCs w:val="22"/>
        </w:rPr>
        <w:t xml:space="preserve"> CFO will pressure to revert to cheaper-looking options in Y2 budget cycles. Pre-commit the cost curve.</w:t>
      </w:r>
    </w:p>
    <w:p>
      <w:pPr>
        <w:pStyle w:val="ListParagraph"/>
        <w:numPr>
          <w:ilvl w:val="0"/>
          <w:numId w:val="10"/>
        </w:numPr>
        <w:spacing w:after="60" w:before="60"/>
      </w:pPr>
      <w:r>
        <w:rPr>
          <w:rFonts w:ascii="Arial" w:cs="Arial" w:eastAsia="Arial" w:hAnsi="Arial"/>
          <w:b/>
          <w:bCs/>
          <w:color w:val="0A1F2E"/>
          <w:sz w:val="22"/>
          <w:szCs w:val="22"/>
        </w:rPr>
        <w:t xml:space="preserve">SEI contractual scope:</w:t>
      </w:r>
      <w:r>
        <w:rPr>
          <w:rFonts w:ascii="Arial" w:cs="Arial" w:eastAsia="Arial" w:hAnsi="Arial"/>
          <w:color w:val="0A1F2E"/>
          <w:sz w:val="22"/>
          <w:szCs w:val="22"/>
        </w:rPr>
        <w:t xml:space="preserve"> SWP scoped to accounting only. Decline SEI features that try to expand into MDM territory. SEI account team will push back.</w:t>
      </w:r>
    </w:p>
    <w:p>
      <w:pPr>
        <w:pStyle w:val="ListParagraph"/>
        <w:numPr>
          <w:ilvl w:val="0"/>
          <w:numId w:val="10"/>
        </w:numPr>
        <w:spacing w:after="60" w:before="60"/>
      </w:pPr>
      <w:r>
        <w:rPr>
          <w:rFonts w:ascii="Arial" w:cs="Arial" w:eastAsia="Arial" w:hAnsi="Arial"/>
          <w:b/>
          <w:bCs/>
          <w:color w:val="0A1F2E"/>
          <w:sz w:val="22"/>
          <w:szCs w:val="22"/>
        </w:rPr>
        <w:t xml:space="preserve">Regulatory examiner narrative:</w:t>
      </w:r>
      <w:r>
        <w:rPr>
          <w:rFonts w:ascii="Arial" w:cs="Arial" w:eastAsia="Arial" w:hAnsi="Arial"/>
          <w:color w:val="0A1F2E"/>
          <w:sz w:val="22"/>
          <w:szCs w:val="22"/>
        </w:rPr>
        <w:t xml:space="preserve"> Pre-brief NYDFS during parallel run. Dual-control story must be airtight from day one.</w:t>
      </w:r>
    </w:p>
    <w:p>
      <w:pPr>
        <w:pStyle w:val="ListParagraph"/>
        <w:numPr>
          <w:ilvl w:val="0"/>
          <w:numId w:val="10"/>
        </w:numPr>
        <w:spacing w:after="60" w:before="60"/>
      </w:pPr>
      <w:r>
        <w:rPr>
          <w:rFonts w:ascii="Arial" w:cs="Arial" w:eastAsia="Arial" w:hAnsi="Arial"/>
          <w:b/>
          <w:bCs/>
          <w:color w:val="0A1F2E"/>
          <w:sz w:val="22"/>
          <w:szCs w:val="22"/>
        </w:rPr>
        <w:t xml:space="preserve">Steward change management:</w:t>
      </w:r>
      <w:r>
        <w:rPr>
          <w:rFonts w:ascii="Arial" w:cs="Arial" w:eastAsia="Arial" w:hAnsi="Arial"/>
          <w:color w:val="0A1F2E"/>
          <w:sz w:val="22"/>
          <w:szCs w:val="22"/>
        </w:rPr>
        <w:t xml:space="preserve"> New console, new workflows, new SLAs. Retention plan. Clear future-state roles. Co-design the console with users.</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Business Challenges — Option 3 Specific Additions</w:t>
      </w:r>
    </w:p>
    <w:p>
      <w:pPr>
        <w:pStyle w:val="ListParagraph"/>
        <w:numPr>
          <w:ilvl w:val="0"/>
          <w:numId w:val="11"/>
        </w:numPr>
        <w:spacing w:after="60" w:before="60"/>
      </w:pPr>
      <w:r>
        <w:rPr>
          <w:rFonts w:ascii="Arial" w:cs="Arial" w:eastAsia="Arial" w:hAnsi="Arial"/>
          <w:b/>
          <w:bCs/>
          <w:color w:val="0A1F2E"/>
          <w:sz w:val="22"/>
          <w:szCs w:val="22"/>
        </w:rPr>
        <w:t xml:space="preserve">Decommission trigger:</w:t>
      </w:r>
      <w:r>
        <w:rPr>
          <w:rFonts w:ascii="Arial" w:cs="Arial" w:eastAsia="Arial" w:hAnsi="Arial"/>
          <w:color w:val="0A1F2E"/>
          <w:sz w:val="22"/>
          <w:szCs w:val="22"/>
        </w:rPr>
        <w:t xml:space="preserve"> Date, security count, consumer count, or contract milestone written into the ADR before commit. Without this, Option 3 calcifies into permanence.</w:t>
      </w:r>
    </w:p>
    <w:p>
      <w:pPr>
        <w:pStyle w:val="ListParagraph"/>
        <w:numPr>
          <w:ilvl w:val="0"/>
          <w:numId w:val="11"/>
        </w:numPr>
        <w:spacing w:after="60" w:before="60"/>
      </w:pPr>
      <w:r>
        <w:rPr>
          <w:rFonts w:ascii="Arial" w:cs="Arial" w:eastAsia="Arial" w:hAnsi="Arial"/>
          <w:b/>
          <w:bCs/>
          <w:color w:val="0A1F2E"/>
          <w:sz w:val="22"/>
          <w:szCs w:val="22"/>
        </w:rPr>
        <w:t xml:space="preserve">Dual stewardship during transition:</w:t>
      </w:r>
      <w:r>
        <w:rPr>
          <w:rFonts w:ascii="Arial" w:cs="Arial" w:eastAsia="Arial" w:hAnsi="Arial"/>
          <w:color w:val="0A1F2E"/>
          <w:sz w:val="22"/>
          <w:szCs w:val="22"/>
        </w:rPr>
        <w:t xml:space="preserve"> Stewards work in both GoldenSource and SWP override loaders. Conflict resolution has no architectural path.</w:t>
      </w:r>
    </w:p>
    <w:p>
      <w:pPr>
        <w:pStyle w:val="ListParagraph"/>
        <w:numPr>
          <w:ilvl w:val="0"/>
          <w:numId w:val="11"/>
        </w:numPr>
        <w:spacing w:after="60" w:before="60"/>
      </w:pPr>
      <w:r>
        <w:rPr>
          <w:rFonts w:ascii="Arial" w:cs="Arial" w:eastAsia="Arial" w:hAnsi="Arial"/>
          <w:b/>
          <w:bCs/>
          <w:color w:val="0A1F2E"/>
          <w:sz w:val="22"/>
          <w:szCs w:val="22"/>
        </w:rPr>
        <w:t xml:space="preserve">Budget for Phase 2:</w:t>
      </w:r>
      <w:r>
        <w:rPr>
          <w:rFonts w:ascii="Arial" w:cs="Arial" w:eastAsia="Arial" w:hAnsi="Arial"/>
          <w:color w:val="0A1F2E"/>
          <w:sz w:val="22"/>
          <w:szCs w:val="22"/>
        </w:rPr>
        <w:t xml:space="preserve"> Phase 2 (migration to full Option 2) must be funded at the time Option 3 is committed, not deferred to future budget cycles.</w:t>
      </w:r>
    </w:p>
    <w:p>
      <w:pPr>
        <w:pStyle w:val="ListParagraph"/>
        <w:numPr>
          <w:ilvl w:val="0"/>
          <w:numId w:val="11"/>
        </w:numPr>
        <w:spacing w:after="60" w:before="60"/>
      </w:pPr>
      <w:r>
        <w:rPr>
          <w:rFonts w:ascii="Arial" w:cs="Arial" w:eastAsia="Arial" w:hAnsi="Arial"/>
          <w:b/>
          <w:bCs/>
          <w:color w:val="0A1F2E"/>
          <w:sz w:val="22"/>
          <w:szCs w:val="22"/>
        </w:rPr>
        <w:t xml:space="preserve">Examiner narrative complexity:</w:t>
      </w:r>
      <w:r>
        <w:rPr>
          <w:rFonts w:ascii="Arial" w:cs="Arial" w:eastAsia="Arial" w:hAnsi="Arial"/>
          <w:color w:val="0A1F2E"/>
          <w:sz w:val="22"/>
          <w:szCs w:val="22"/>
        </w:rPr>
        <w:t xml:space="preserve"> Two mastering paths requires explaining a more complex control environment.</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Technical Implementation Challenges</w:t>
      </w:r>
    </w:p>
    <w:p>
      <w:pPr>
        <w:pStyle w:val="ListParagraph"/>
        <w:numPr>
          <w:ilvl w:val="0"/>
          <w:numId w:val="4"/>
        </w:numPr>
        <w:spacing w:after="60" w:before="60"/>
      </w:pPr>
      <w:r>
        <w:rPr>
          <w:rFonts w:ascii="Arial" w:cs="Arial" w:eastAsia="Arial" w:hAnsi="Arial"/>
          <w:b/>
          <w:bCs/>
          <w:color w:val="0A1F2E"/>
          <w:sz w:val="22"/>
          <w:szCs w:val="22"/>
        </w:rPr>
        <w:t xml:space="preserve">Bitemporal performance at scale:</w:t>
      </w:r>
      <w:r>
        <w:rPr>
          <w:rFonts w:ascii="Arial" w:cs="Arial" w:eastAsia="Arial" w:hAnsi="Arial"/>
          <w:color w:val="0A1F2E"/>
          <w:sz w:val="22"/>
          <w:szCs w:val="22"/>
        </w:rPr>
        <w:t xml:space="preserve"> Partition strategy must be validated at 100M+ rows before commit. List-partitioned by attribute_name, range-partitioned by system_from.</w:t>
      </w:r>
    </w:p>
    <w:p>
      <w:pPr>
        <w:pStyle w:val="ListParagraph"/>
        <w:numPr>
          <w:ilvl w:val="0"/>
          <w:numId w:val="4"/>
        </w:numPr>
        <w:spacing w:after="60" w:before="60"/>
      </w:pPr>
      <w:r>
        <w:rPr>
          <w:rFonts w:ascii="Arial" w:cs="Arial" w:eastAsia="Arial" w:hAnsi="Arial"/>
          <w:b/>
          <w:bCs/>
          <w:color w:val="0A1F2E"/>
          <w:sz w:val="22"/>
          <w:szCs w:val="22"/>
        </w:rPr>
        <w:t xml:space="preserve">CDC ordering and exactly-once:</w:t>
      </w:r>
      <w:r>
        <w:rPr>
          <w:rFonts w:ascii="Arial" w:cs="Arial" w:eastAsia="Arial" w:hAnsi="Arial"/>
          <w:color w:val="0A1F2E"/>
          <w:sz w:val="22"/>
          <w:szCs w:val="22"/>
        </w:rPr>
        <w:t xml:space="preserve"> Per-security-key partitioning. Transactional outbox pattern. Replay tooling from day one.</w:t>
      </w:r>
    </w:p>
    <w:p>
      <w:pPr>
        <w:pStyle w:val="ListParagraph"/>
        <w:numPr>
          <w:ilvl w:val="0"/>
          <w:numId w:val="4"/>
        </w:numPr>
        <w:spacing w:after="60" w:before="60"/>
      </w:pPr>
      <w:r>
        <w:rPr>
          <w:rFonts w:ascii="Arial" w:cs="Arial" w:eastAsia="Arial" w:hAnsi="Arial"/>
          <w:b/>
          <w:bCs/>
          <w:color w:val="0A1F2E"/>
          <w:sz w:val="22"/>
          <w:szCs w:val="22"/>
        </w:rPr>
        <w:t xml:space="preserve">SWP loader cap:</w:t>
      </w:r>
      <w:r>
        <w:rPr>
          <w:rFonts w:ascii="Arial" w:cs="Arial" w:eastAsia="Arial" w:hAnsi="Arial"/>
          <w:color w:val="0A1F2E"/>
          <w:sz w:val="22"/>
          <w:szCs w:val="22"/>
        </w:rPr>
        <w:t xml:space="preserve"> Investigation item #1 from the SMF strategy deck — get numeric SLA from SEI in writing on row count, column count, throughput. Foundational unknown.</w:t>
      </w:r>
    </w:p>
    <w:p>
      <w:pPr>
        <w:pStyle w:val="ListParagraph"/>
        <w:numPr>
          <w:ilvl w:val="0"/>
          <w:numId w:val="4"/>
        </w:numPr>
        <w:spacing w:after="60" w:before="60"/>
      </w:pPr>
      <w:r>
        <w:rPr>
          <w:rFonts w:ascii="Arial" w:cs="Arial" w:eastAsia="Arial" w:hAnsi="Arial"/>
          <w:b/>
          <w:bCs/>
          <w:color w:val="0A1F2E"/>
          <w:sz w:val="22"/>
          <w:szCs w:val="22"/>
        </w:rPr>
        <w:t xml:space="preserve">Override engine semantic drift:</w:t>
      </w:r>
      <w:r>
        <w:rPr>
          <w:rFonts w:ascii="Arial" w:cs="Arial" w:eastAsia="Arial" w:hAnsi="Arial"/>
          <w:color w:val="0A1F2E"/>
          <w:sz w:val="22"/>
          <w:szCs w:val="22"/>
        </w:rPr>
        <w:t xml:space="preserve"> Auto-expiry and auto-retirement rules must be enforced in code, not policy.</w:t>
      </w:r>
    </w:p>
    <w:p>
      <w:pPr>
        <w:pStyle w:val="ListParagraph"/>
        <w:numPr>
          <w:ilvl w:val="0"/>
          <w:numId w:val="4"/>
        </w:numPr>
        <w:spacing w:after="60" w:before="60"/>
      </w:pPr>
      <w:r>
        <w:rPr>
          <w:rFonts w:ascii="Arial" w:cs="Arial" w:eastAsia="Arial" w:hAnsi="Arial"/>
          <w:b/>
          <w:bCs/>
          <w:color w:val="0A1F2E"/>
          <w:sz w:val="22"/>
          <w:szCs w:val="22"/>
        </w:rPr>
        <w:t xml:space="preserve">Lineage tooling in air-gap:</w:t>
      </w:r>
      <w:r>
        <w:rPr>
          <w:rFonts w:ascii="Arial" w:cs="Arial" w:eastAsia="Arial" w:hAnsi="Arial"/>
          <w:color w:val="0A1F2E"/>
          <w:sz w:val="22"/>
          <w:szCs w:val="22"/>
        </w:rPr>
        <w:t xml:space="preserve"> OpenLineage for Phase 1 (lighter footprint). DataHub deferred to Phase 3 if stewardship UI gaps emerge.</w:t>
      </w:r>
    </w:p>
    <w:p>
      <w:pPr>
        <w:pStyle w:val="ListParagraph"/>
        <w:numPr>
          <w:ilvl w:val="0"/>
          <w:numId w:val="4"/>
        </w:numPr>
        <w:spacing w:after="60" w:before="60"/>
      </w:pPr>
      <w:r>
        <w:rPr>
          <w:rFonts w:ascii="Arial" w:cs="Arial" w:eastAsia="Arial" w:hAnsi="Arial"/>
          <w:b/>
          <w:bCs/>
          <w:color w:val="0A1F2E"/>
          <w:sz w:val="22"/>
          <w:szCs w:val="22"/>
        </w:rPr>
        <w:t xml:space="preserve">GoldenSource outage handling:</w:t>
      </w:r>
      <w:r>
        <w:rPr>
          <w:rFonts w:ascii="Arial" w:cs="Arial" w:eastAsia="Arial" w:hAnsi="Arial"/>
          <w:color w:val="0A1F2E"/>
          <w:sz w:val="22"/>
          <w:szCs w:val="22"/>
        </w:rPr>
        <w:t xml:space="preserve"> SWP-side cache with defined degradation mode. Fallback SLA defined before cutover.</w:t>
      </w:r>
    </w:p>
    <w:p>
      <w:pPr>
        <w:pStyle w:val="ListParagraph"/>
        <w:numPr>
          <w:ilvl w:val="0"/>
          <w:numId w:val="4"/>
        </w:numPr>
        <w:spacing w:after="60" w:before="60"/>
      </w:pPr>
      <w:r>
        <w:rPr>
          <w:rFonts w:ascii="Arial" w:cs="Arial" w:eastAsia="Arial" w:hAnsi="Arial"/>
          <w:b/>
          <w:bCs/>
          <w:color w:val="0A1F2E"/>
          <w:sz w:val="22"/>
          <w:szCs w:val="22"/>
        </w:rPr>
        <w:t xml:space="preserve">Consumer contract preservation:</w:t>
      </w:r>
      <w:r>
        <w:rPr>
          <w:rFonts w:ascii="Arial" w:cs="Arial" w:eastAsia="Arial" w:hAnsi="Arial"/>
          <w:color w:val="0A1F2E"/>
          <w:sz w:val="22"/>
          <w:szCs w:val="22"/>
        </w:rPr>
        <w:t xml:space="preserve"> Semantic versioning, deprecation windows, consumer registry, scheduled migration nudges — the compatibility layer must have hard decommission deadlines.</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Governance Failure Modes — The Eight to Design Against</w:t>
      </w:r>
    </w:p>
    <w:p>
      <w:pPr>
        <w:pStyle w:val="ListParagraph"/>
        <w:numPr>
          <w:ilvl w:val="0"/>
          <w:numId w:val="12"/>
        </w:numPr>
        <w:spacing w:after="60" w:before="60"/>
      </w:pPr>
      <w:r>
        <w:rPr>
          <w:rFonts w:ascii="Arial" w:cs="Arial" w:eastAsia="Arial" w:hAnsi="Arial"/>
          <w:b/>
          <w:bCs/>
          <w:color w:val="0A1F2E"/>
          <w:sz w:val="22"/>
          <w:szCs w:val="22"/>
        </w:rPr>
        <w:t xml:space="preserve">No executive sponsor:</w:t>
      </w:r>
      <w:r>
        <w:rPr>
          <w:rFonts w:ascii="Arial" w:cs="Arial" w:eastAsia="Arial" w:hAnsi="Arial"/>
          <w:color w:val="0A1F2E"/>
          <w:sz w:val="22"/>
          <w:szCs w:val="22"/>
        </w:rPr>
        <w:t xml:space="preserve"> Governance dies, scope creeps, funding dries.</w:t>
      </w:r>
    </w:p>
    <w:p>
      <w:pPr>
        <w:pStyle w:val="ListParagraph"/>
        <w:numPr>
          <w:ilvl w:val="0"/>
          <w:numId w:val="12"/>
        </w:numPr>
        <w:spacing w:after="60" w:before="60"/>
      </w:pPr>
      <w:r>
        <w:rPr>
          <w:rFonts w:ascii="Arial" w:cs="Arial" w:eastAsia="Arial" w:hAnsi="Arial"/>
          <w:b/>
          <w:bCs/>
          <w:color w:val="0A1F2E"/>
          <w:sz w:val="22"/>
          <w:szCs w:val="22"/>
        </w:rPr>
        <w:t xml:space="preserve">IT-led without business:</w:t>
      </w:r>
      <w:r>
        <w:rPr>
          <w:rFonts w:ascii="Arial" w:cs="Arial" w:eastAsia="Arial" w:hAnsi="Arial"/>
          <w:color w:val="0A1F2E"/>
          <w:sz w:val="22"/>
          <w:szCs w:val="22"/>
        </w:rPr>
        <w:t xml:space="preserve"> Wrong domain model, no stewardship, no adoption.</w:t>
      </w:r>
    </w:p>
    <w:p>
      <w:pPr>
        <w:pStyle w:val="ListParagraph"/>
        <w:numPr>
          <w:ilvl w:val="0"/>
          <w:numId w:val="12"/>
        </w:numPr>
        <w:spacing w:after="60" w:before="60"/>
      </w:pPr>
      <w:r>
        <w:rPr>
          <w:rFonts w:ascii="Arial" w:cs="Arial" w:eastAsia="Arial" w:hAnsi="Arial"/>
          <w:b/>
          <w:bCs/>
          <w:color w:val="0A1F2E"/>
          <w:sz w:val="22"/>
          <w:szCs w:val="22"/>
        </w:rPr>
        <w:t xml:space="preserve">Big-bang scope:</w:t>
      </w:r>
      <w:r>
        <w:rPr>
          <w:rFonts w:ascii="Arial" w:cs="Arial" w:eastAsia="Arial" w:hAnsi="Arial"/>
          <w:color w:val="0A1F2E"/>
          <w:sz w:val="22"/>
          <w:szCs w:val="22"/>
        </w:rPr>
        <w:t xml:space="preserve"> Multi-year programs that never deliver. Start with SMF only.</w:t>
      </w:r>
    </w:p>
    <w:p>
      <w:pPr>
        <w:pStyle w:val="ListParagraph"/>
        <w:numPr>
          <w:ilvl w:val="0"/>
          <w:numId w:val="12"/>
        </w:numPr>
        <w:spacing w:after="60" w:before="60"/>
      </w:pPr>
      <w:r>
        <w:rPr>
          <w:rFonts w:ascii="Arial" w:cs="Arial" w:eastAsia="Arial" w:hAnsi="Arial"/>
          <w:b/>
          <w:bCs/>
          <w:color w:val="0A1F2E"/>
          <w:sz w:val="22"/>
          <w:szCs w:val="22"/>
        </w:rPr>
        <w:t xml:space="preserve">MDM as a tool purchase:</w:t>
      </w:r>
      <w:r>
        <w:rPr>
          <w:rFonts w:ascii="Arial" w:cs="Arial" w:eastAsia="Arial" w:hAnsi="Arial"/>
          <w:color w:val="0A1F2E"/>
          <w:sz w:val="22"/>
          <w:szCs w:val="22"/>
        </w:rPr>
        <w:t xml:space="preserve"> Vendor sold a platform; no operating model change.</w:t>
      </w:r>
    </w:p>
    <w:p>
      <w:pPr>
        <w:pStyle w:val="ListParagraph"/>
        <w:numPr>
          <w:ilvl w:val="0"/>
          <w:numId w:val="12"/>
        </w:numPr>
        <w:spacing w:after="60" w:before="60"/>
      </w:pPr>
      <w:r>
        <w:rPr>
          <w:rFonts w:ascii="Arial" w:cs="Arial" w:eastAsia="Arial" w:hAnsi="Arial"/>
          <w:b/>
          <w:bCs/>
          <w:color w:val="0A1F2E"/>
          <w:sz w:val="22"/>
          <w:szCs w:val="22"/>
        </w:rPr>
        <w:t xml:space="preserve">No DQ measurement:</w:t>
      </w:r>
      <w:r>
        <w:rPr>
          <w:rFonts w:ascii="Arial" w:cs="Arial" w:eastAsia="Arial" w:hAnsi="Arial"/>
          <w:color w:val="0A1F2E"/>
          <w:sz w:val="22"/>
          <w:szCs w:val="22"/>
        </w:rPr>
        <w:t xml:space="preserve"> Quality silently degrades, problem becomes invisible.</w:t>
      </w:r>
    </w:p>
    <w:p>
      <w:pPr>
        <w:pStyle w:val="ListParagraph"/>
        <w:numPr>
          <w:ilvl w:val="0"/>
          <w:numId w:val="12"/>
        </w:numPr>
        <w:spacing w:after="60" w:before="60"/>
      </w:pPr>
      <w:r>
        <w:rPr>
          <w:rFonts w:ascii="Arial" w:cs="Arial" w:eastAsia="Arial" w:hAnsi="Arial"/>
          <w:b/>
          <w:bCs/>
          <w:color w:val="0A1F2E"/>
          <w:sz w:val="22"/>
          <w:szCs w:val="22"/>
        </w:rPr>
        <w:t xml:space="preserve">Source systems uncooperative:</w:t>
      </w:r>
      <w:r>
        <w:rPr>
          <w:rFonts w:ascii="Arial" w:cs="Arial" w:eastAsia="Arial" w:hAnsi="Arial"/>
          <w:color w:val="0A1F2E"/>
          <w:sz w:val="22"/>
          <w:szCs w:val="22"/>
        </w:rPr>
        <w:t xml:space="preserve"> Mastered data ignored by transactional systems.</w:t>
      </w:r>
    </w:p>
    <w:p>
      <w:pPr>
        <w:pStyle w:val="ListParagraph"/>
        <w:numPr>
          <w:ilvl w:val="0"/>
          <w:numId w:val="12"/>
        </w:numPr>
        <w:spacing w:after="60" w:before="60"/>
      </w:pPr>
      <w:r>
        <w:rPr>
          <w:rFonts w:ascii="Arial" w:cs="Arial" w:eastAsia="Arial" w:hAnsi="Arial"/>
          <w:b/>
          <w:bCs/>
          <w:color w:val="0A1F2E"/>
          <w:sz w:val="22"/>
          <w:szCs w:val="22"/>
        </w:rPr>
        <w:t xml:space="preserve">Stewardship under-resourced:</w:t>
      </w:r>
      <w:r>
        <w:rPr>
          <w:rFonts w:ascii="Arial" w:cs="Arial" w:eastAsia="Arial" w:hAnsi="Arial"/>
          <w:color w:val="0A1F2E"/>
          <w:sz w:val="22"/>
          <w:szCs w:val="22"/>
        </w:rPr>
        <w:t xml:space="preserve"> Backlog grows, stewards quit, quality collapses.</w:t>
      </w:r>
    </w:p>
    <w:p>
      <w:pPr>
        <w:pStyle w:val="ListParagraph"/>
        <w:numPr>
          <w:ilvl w:val="0"/>
          <w:numId w:val="12"/>
        </w:numPr>
        <w:spacing w:after="60" w:before="60"/>
      </w:pPr>
      <w:r>
        <w:rPr>
          <w:rFonts w:ascii="Arial" w:cs="Arial" w:eastAsia="Arial" w:hAnsi="Arial"/>
          <w:b/>
          <w:bCs/>
          <w:color w:val="0A1F2E"/>
          <w:sz w:val="22"/>
          <w:szCs w:val="22"/>
        </w:rPr>
        <w:t xml:space="preserve">Premature scaling:</w:t>
      </w:r>
      <w:r>
        <w:rPr>
          <w:rFonts w:ascii="Arial" w:cs="Arial" w:eastAsia="Arial" w:hAnsi="Arial"/>
          <w:color w:val="0A1F2E"/>
          <w:sz w:val="22"/>
          <w:szCs w:val="22"/>
        </w:rPr>
        <w:t xml:space="preserve"> Adding domains before the first one is stable.</w:t>
      </w:r>
    </w:p>
    <w:p>
      <w:pPr>
        <w:spacing w:after="0" w:before="0"/>
      </w:pPr>
      <w:r>
        <w:br w:type="page"/>
      </w:r>
    </w:p>
    <w:p>
      <w:pPr>
        <w:pStyle w:val="Heading1"/>
        <w:pBdr>
          <w:bottom w:val="single" w:color="1F5C6B" w:sz="4" w:space="6"/>
        </w:pBdr>
        <w:spacing w:after="180" w:before="360"/>
      </w:pPr>
      <w:r>
        <w:rPr>
          <w:rFonts w:ascii="Arial" w:cs="Arial" w:eastAsia="Arial" w:hAnsi="Arial"/>
          <w:b/>
          <w:bCs/>
          <w:color w:val="0A1F2E"/>
          <w:sz w:val="32"/>
          <w:szCs w:val="32"/>
        </w:rPr>
        <w:t xml:space="preserve">Chapter 11: Business Discovery Questions</w:t>
      </w:r>
    </w:p>
    <w:p>
      <w:pPr>
        <w:spacing w:after="100" w:before="80"/>
        <w:jc w:val="left"/>
      </w:pPr>
      <w:r>
        <w:rPr>
          <w:rFonts w:ascii="Arial" w:cs="Arial" w:eastAsia="Arial" w:hAnsi="Arial"/>
          <w:b w:val="false"/>
          <w:bCs w:val="false"/>
          <w:i w:val="false"/>
          <w:iCs w:val="false"/>
          <w:color w:val="0A1F2E"/>
          <w:sz w:val="22"/>
          <w:szCs w:val="22"/>
        </w:rPr>
        <w:t xml:space="preserve">These are the questions that must be answered before committing to any option. They fall into six groups: operating model, data scope, regulatory, vendor, migration, and decision-forcing.</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Operating Model &amp; Ownership</w:t>
      </w:r>
    </w:p>
    <w:p>
      <w:pPr>
        <w:pStyle w:val="ListParagraph"/>
        <w:numPr>
          <w:ilvl w:val="0"/>
          <w:numId w:val="4"/>
        </w:numPr>
        <w:spacing w:after="60" w:before="60"/>
      </w:pPr>
      <w:r>
        <w:rPr>
          <w:rFonts w:ascii="Arial" w:cs="Arial" w:eastAsia="Arial" w:hAnsi="Arial"/>
          <w:b/>
          <w:bCs/>
          <w:color w:val="0A1F2E"/>
          <w:sz w:val="22"/>
          <w:szCs w:val="22"/>
        </w:rPr>
        <w:t xml:space="preserve">Who owns SMF data post-cutover?</w:t>
      </w:r>
      <w:r>
        <w:rPr>
          <w:rFonts w:ascii="Arial" w:cs="Arial" w:eastAsia="Arial" w:hAnsi="Arial"/>
          <w:color w:val="0A1F2E"/>
          <w:sz w:val="22"/>
          <w:szCs w:val="22"/>
        </w:rPr>
        <w:t xml:space="preserve"> Named individual with executive accountability, not a committee.</w:t>
      </w:r>
    </w:p>
    <w:p>
      <w:pPr>
        <w:pStyle w:val="ListParagraph"/>
        <w:numPr>
          <w:ilvl w:val="0"/>
          <w:numId w:val="4"/>
        </w:numPr>
        <w:spacing w:after="60" w:before="60"/>
      </w:pPr>
      <w:r>
        <w:rPr>
          <w:rFonts w:ascii="Arial" w:cs="Arial" w:eastAsia="Arial" w:hAnsi="Arial"/>
          <w:b/>
          <w:bCs/>
          <w:color w:val="0A1F2E"/>
          <w:sz w:val="22"/>
          <w:szCs w:val="22"/>
        </w:rPr>
        <w:t xml:space="preserve">Override authority hierarchy:</w:t>
      </w:r>
      <w:r>
        <w:rPr>
          <w:rFonts w:ascii="Arial" w:cs="Arial" w:eastAsia="Arial" w:hAnsi="Arial"/>
          <w:color w:val="0A1F2E"/>
          <w:sz w:val="22"/>
          <w:szCs w:val="22"/>
        </w:rPr>
        <w:t xml:space="preserve"> When client data conflicts with vendor data, what is the precedence? Per-asset-class? Per-attribute?</w:t>
      </w:r>
    </w:p>
    <w:p>
      <w:pPr>
        <w:pStyle w:val="ListParagraph"/>
        <w:numPr>
          <w:ilvl w:val="0"/>
          <w:numId w:val="4"/>
        </w:numPr>
        <w:spacing w:after="60" w:before="60"/>
      </w:pPr>
      <w:r>
        <w:rPr>
          <w:rFonts w:ascii="Arial" w:cs="Arial" w:eastAsia="Arial" w:hAnsi="Arial"/>
          <w:b/>
          <w:bCs/>
          <w:color w:val="0A1F2E"/>
          <w:sz w:val="22"/>
          <w:szCs w:val="22"/>
        </w:rPr>
        <w:t xml:space="preserve">Hema's DQ function:</w:t>
      </w:r>
      <w:r>
        <w:rPr>
          <w:rFonts w:ascii="Arial" w:cs="Arial" w:eastAsia="Arial" w:hAnsi="Arial"/>
          <w:color w:val="0A1F2E"/>
          <w:sz w:val="22"/>
          <w:szCs w:val="22"/>
        </w:rPr>
        <w:t xml:space="preserve"> Does it absorb stewardship or remain separate from the consolidated stewardship team?</w:t>
      </w:r>
    </w:p>
    <w:p>
      <w:pPr>
        <w:pStyle w:val="ListParagraph"/>
        <w:numPr>
          <w:ilvl w:val="0"/>
          <w:numId w:val="4"/>
        </w:numPr>
        <w:spacing w:after="60" w:before="60"/>
      </w:pPr>
      <w:r>
        <w:rPr>
          <w:rFonts w:ascii="Arial" w:cs="Arial" w:eastAsia="Arial" w:hAnsi="Arial"/>
          <w:b/>
          <w:bCs/>
          <w:color w:val="0A1F2E"/>
          <w:sz w:val="22"/>
          <w:szCs w:val="22"/>
        </w:rPr>
        <w:t xml:space="preserve">Accountability chain:</w:t>
      </w:r>
      <w:r>
        <w:rPr>
          <w:rFonts w:ascii="Arial" w:cs="Arial" w:eastAsia="Arial" w:hAnsi="Arial"/>
          <w:color w:val="0A1F2E"/>
          <w:sz w:val="22"/>
          <w:szCs w:val="22"/>
        </w:rPr>
        <w:t xml:space="preserve"> Who is accountable when a downstream regulatory report breaks because of an SMF data issue?</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Data Scope &amp; SLAs</w:t>
      </w:r>
    </w:p>
    <w:p>
      <w:pPr>
        <w:pStyle w:val="ListParagraph"/>
        <w:numPr>
          <w:ilvl w:val="0"/>
          <w:numId w:val="4"/>
        </w:numPr>
        <w:spacing w:after="60" w:before="60"/>
      </w:pPr>
      <w:r>
        <w:rPr>
          <w:rFonts w:ascii="Arial" w:cs="Arial" w:eastAsia="Arial" w:hAnsi="Arial"/>
          <w:b/>
          <w:bCs/>
          <w:color w:val="0A1F2E"/>
          <w:sz w:val="22"/>
          <w:szCs w:val="22"/>
        </w:rPr>
        <w:t xml:space="preserve">Intraday SLA:</w:t>
      </w:r>
      <w:r>
        <w:rPr>
          <w:rFonts w:ascii="Arial" w:cs="Arial" w:eastAsia="Arial" w:hAnsi="Arial"/>
          <w:color w:val="0A1F2E"/>
          <w:sz w:val="22"/>
          <w:szCs w:val="22"/>
        </w:rPr>
        <w:t xml:space="preserve"> Sub-minute, 5-minute, hourly? Different per consumer? This drives Kafka vs. batch vs. hybrid for the CDC channel.</w:t>
      </w:r>
    </w:p>
    <w:p>
      <w:pPr>
        <w:pStyle w:val="ListParagraph"/>
        <w:numPr>
          <w:ilvl w:val="0"/>
          <w:numId w:val="4"/>
        </w:numPr>
        <w:spacing w:after="60" w:before="60"/>
      </w:pPr>
      <w:r>
        <w:rPr>
          <w:rFonts w:ascii="Arial" w:cs="Arial" w:eastAsia="Arial" w:hAnsi="Arial"/>
          <w:b/>
          <w:bCs/>
          <w:color w:val="0A1F2E"/>
          <w:sz w:val="22"/>
          <w:szCs w:val="22"/>
        </w:rPr>
        <w:t xml:space="preserve">Manual stewardship coverage:</w:t>
      </w:r>
      <w:r>
        <w:rPr>
          <w:rFonts w:ascii="Arial" w:cs="Arial" w:eastAsia="Arial" w:hAnsi="Arial"/>
          <w:color w:val="0A1F2E"/>
          <w:sz w:val="22"/>
          <w:szCs w:val="22"/>
        </w:rPr>
        <w:t xml:space="preserve"> What percentage of current securities are covered by IDC + Bloomberg automated feeds versus requiring manual stewardship? The long tail drives override loader sizing.</w:t>
      </w:r>
    </w:p>
    <w:p>
      <w:pPr>
        <w:pStyle w:val="ListParagraph"/>
        <w:numPr>
          <w:ilvl w:val="0"/>
          <w:numId w:val="4"/>
        </w:numPr>
        <w:spacing w:after="60" w:before="60"/>
      </w:pPr>
      <w:r>
        <w:rPr>
          <w:rFonts w:ascii="Arial" w:cs="Arial" w:eastAsia="Arial" w:hAnsi="Arial"/>
          <w:b/>
          <w:bCs/>
          <w:color w:val="0A1F2E"/>
          <w:sz w:val="22"/>
          <w:szCs w:val="22"/>
        </w:rPr>
        <w:t xml:space="preserve">Bitemporal lookback:</w:t>
      </w:r>
      <w:r>
        <w:rPr>
          <w:rFonts w:ascii="Arial" w:cs="Arial" w:eastAsia="Arial" w:hAnsi="Arial"/>
          <w:color w:val="0A1F2E"/>
          <w:sz w:val="22"/>
          <w:szCs w:val="22"/>
        </w:rPr>
        <w:t xml:space="preserve"> Which fields need as-of history for regulatory restatement? Over what lookback window?</w:t>
      </w:r>
    </w:p>
    <w:p>
      <w:pPr>
        <w:pStyle w:val="ListParagraph"/>
        <w:numPr>
          <w:ilvl w:val="0"/>
          <w:numId w:val="4"/>
        </w:numPr>
        <w:spacing w:after="60" w:before="60"/>
      </w:pPr>
      <w:r>
        <w:rPr>
          <w:rFonts w:ascii="Arial" w:cs="Arial" w:eastAsia="Arial" w:hAnsi="Arial"/>
          <w:b/>
          <w:bCs/>
          <w:color w:val="0A1F2E"/>
          <w:sz w:val="22"/>
          <w:szCs w:val="22"/>
        </w:rPr>
        <w:t xml:space="preserve">Reconciliation SLA:</w:t>
      </w:r>
      <w:r>
        <w:rPr>
          <w:rFonts w:ascii="Arial" w:cs="Arial" w:eastAsia="Arial" w:hAnsi="Arial"/>
          <w:color w:val="0A1F2E"/>
          <w:sz w:val="22"/>
          <w:szCs w:val="22"/>
        </w:rPr>
        <w:t xml:space="preserve"> What break rate is acceptable per asset class? What triggers steward triage versus blocks cutover?</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Regulatory &amp; Compliance</w:t>
      </w:r>
    </w:p>
    <w:p>
      <w:pPr>
        <w:pStyle w:val="ListParagraph"/>
        <w:numPr>
          <w:ilvl w:val="0"/>
          <w:numId w:val="4"/>
        </w:numPr>
        <w:spacing w:after="60" w:before="60"/>
      </w:pPr>
      <w:r>
        <w:rPr>
          <w:rFonts w:ascii="Arial" w:cs="Arial" w:eastAsia="Arial" w:hAnsi="Arial"/>
          <w:b/>
          <w:bCs/>
          <w:color w:val="0A1F2E"/>
          <w:sz w:val="22"/>
          <w:szCs w:val="22"/>
        </w:rPr>
        <w:t xml:space="preserve">NYDFS Part 500:</w:t>
      </w:r>
      <w:r>
        <w:rPr>
          <w:rFonts w:ascii="Arial" w:cs="Arial" w:eastAsia="Arial" w:hAnsi="Arial"/>
          <w:color w:val="0A1F2E"/>
          <w:sz w:val="22"/>
          <w:szCs w:val="22"/>
        </w:rPr>
        <w:t xml:space="preserve"> Does SMF fall under the nonpublic information definition? Affects data masking in lower environments.</w:t>
      </w:r>
    </w:p>
    <w:p>
      <w:pPr>
        <w:pStyle w:val="ListParagraph"/>
        <w:numPr>
          <w:ilvl w:val="0"/>
          <w:numId w:val="4"/>
        </w:numPr>
        <w:spacing w:after="60" w:before="60"/>
      </w:pPr>
      <w:r>
        <w:rPr>
          <w:rFonts w:ascii="Arial" w:cs="Arial" w:eastAsia="Arial" w:hAnsi="Arial"/>
          <w:b/>
          <w:bCs/>
          <w:color w:val="0A1F2E"/>
          <w:sz w:val="22"/>
          <w:szCs w:val="22"/>
        </w:rPr>
        <w:t xml:space="preserve">SEC/SOX audit trail:</w:t>
      </w:r>
      <w:r>
        <w:rPr>
          <w:rFonts w:ascii="Arial" w:cs="Arial" w:eastAsia="Arial" w:hAnsi="Arial"/>
          <w:color w:val="0A1F2E"/>
          <w:sz w:val="22"/>
          <w:szCs w:val="22"/>
        </w:rPr>
        <w:t xml:space="preserve"> SMF feeds NAV computation. What is the specific audit trail and lineage requirement? This determines whether DataHub or Marquez/OpenLineage becomes load-bearing.</w:t>
      </w:r>
    </w:p>
    <w:p>
      <w:pPr>
        <w:pStyle w:val="ListParagraph"/>
        <w:numPr>
          <w:ilvl w:val="0"/>
          <w:numId w:val="4"/>
        </w:numPr>
        <w:spacing w:after="60" w:before="60"/>
      </w:pPr>
      <w:r>
        <w:rPr>
          <w:rFonts w:ascii="Arial" w:cs="Arial" w:eastAsia="Arial" w:hAnsi="Arial"/>
          <w:b/>
          <w:bCs/>
          <w:color w:val="0A1F2E"/>
          <w:sz w:val="22"/>
          <w:szCs w:val="22"/>
        </w:rPr>
        <w:t xml:space="preserve">FINRA/MiFID II:</w:t>
      </w:r>
      <w:r>
        <w:rPr>
          <w:rFonts w:ascii="Arial" w:cs="Arial" w:eastAsia="Arial" w:hAnsi="Arial"/>
          <w:color w:val="0A1F2E"/>
          <w:sz w:val="22"/>
          <w:szCs w:val="22"/>
        </w:rPr>
        <w:t xml:space="preserve"> For the funds business, SMF feeds transaction reporting. Same audit trail question.</w:t>
      </w:r>
    </w:p>
    <w:p>
      <w:pPr>
        <w:pStyle w:val="ListParagraph"/>
        <w:numPr>
          <w:ilvl w:val="0"/>
          <w:numId w:val="4"/>
        </w:numPr>
        <w:spacing w:after="60" w:before="60"/>
      </w:pPr>
      <w:r>
        <w:rPr>
          <w:rFonts w:ascii="Arial" w:cs="Arial" w:eastAsia="Arial" w:hAnsi="Arial"/>
          <w:b/>
          <w:bCs/>
          <w:color w:val="0A1F2E"/>
          <w:sz w:val="22"/>
          <w:szCs w:val="22"/>
        </w:rPr>
        <w:t xml:space="preserve">Examiner pre-briefing:</w:t>
      </w:r>
      <w:r>
        <w:rPr>
          <w:rFonts w:ascii="Arial" w:cs="Arial" w:eastAsia="Arial" w:hAnsi="Arial"/>
          <w:color w:val="0A1F2E"/>
          <w:sz w:val="22"/>
          <w:szCs w:val="22"/>
        </w:rPr>
        <w:t xml:space="preserve"> What is the plan for pre-briefing NYDFS during the parallel run period?</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Vendor &amp; Cost</w:t>
      </w:r>
    </w:p>
    <w:p>
      <w:pPr>
        <w:pStyle w:val="ListParagraph"/>
        <w:numPr>
          <w:ilvl w:val="0"/>
          <w:numId w:val="4"/>
        </w:numPr>
        <w:spacing w:after="60" w:before="60"/>
      </w:pPr>
      <w:r>
        <w:rPr>
          <w:rFonts w:ascii="Arial" w:cs="Arial" w:eastAsia="Arial" w:hAnsi="Arial"/>
          <w:b/>
          <w:bCs/>
          <w:color w:val="0A1F2E"/>
          <w:sz w:val="22"/>
          <w:szCs w:val="22"/>
        </w:rPr>
        <w:t xml:space="preserve">IDC vs. Bloomberg contracts:</w:t>
      </w:r>
      <w:r>
        <w:rPr>
          <w:rFonts w:ascii="Arial" w:cs="Arial" w:eastAsia="Arial" w:hAnsi="Arial"/>
          <w:color w:val="0A1F2E"/>
          <w:sz w:val="22"/>
          <w:szCs w:val="22"/>
        </w:rPr>
        <w:t xml:space="preserve"> What are the contractual exit terms? When do contracts renew? Can we consolidate to one plus targeted second source?</w:t>
      </w:r>
    </w:p>
    <w:p>
      <w:pPr>
        <w:pStyle w:val="ListParagraph"/>
        <w:numPr>
          <w:ilvl w:val="0"/>
          <w:numId w:val="4"/>
        </w:numPr>
        <w:spacing w:after="60" w:before="60"/>
      </w:pPr>
      <w:r>
        <w:rPr>
          <w:rFonts w:ascii="Arial" w:cs="Arial" w:eastAsia="Arial" w:hAnsi="Arial"/>
          <w:b/>
          <w:bCs/>
          <w:color w:val="0A1F2E"/>
          <w:sz w:val="22"/>
          <w:szCs w:val="22"/>
        </w:rPr>
        <w:t xml:space="preserve">SEI SWP licensing:</w:t>
      </w:r>
      <w:r>
        <w:rPr>
          <w:rFonts w:ascii="Arial" w:cs="Arial" w:eastAsia="Arial" w:hAnsi="Arial"/>
          <w:color w:val="0A1F2E"/>
          <w:sz w:val="22"/>
          <w:szCs w:val="22"/>
        </w:rPr>
        <w:t xml:space="preserve"> Per-security or flat? If per-security, Options 1 and 3 cost more than the deck discloses.</w:t>
      </w:r>
    </w:p>
    <w:p>
      <w:pPr>
        <w:pStyle w:val="ListParagraph"/>
        <w:numPr>
          <w:ilvl w:val="0"/>
          <w:numId w:val="4"/>
        </w:numPr>
        <w:spacing w:after="60" w:before="60"/>
      </w:pPr>
      <w:r>
        <w:rPr>
          <w:rFonts w:ascii="Arial" w:cs="Arial" w:eastAsia="Arial" w:hAnsi="Arial"/>
          <w:b/>
          <w:bCs/>
          <w:color w:val="0A1F2E"/>
          <w:sz w:val="22"/>
          <w:szCs w:val="22"/>
        </w:rPr>
        <w:t xml:space="preserve">GoldenSource license model:</w:t>
      </w:r>
      <w:r>
        <w:rPr>
          <w:rFonts w:ascii="Arial" w:cs="Arial" w:eastAsia="Arial" w:hAnsi="Arial"/>
          <w:color w:val="0A1F2E"/>
          <w:sz w:val="22"/>
          <w:szCs w:val="22"/>
        </w:rPr>
        <w:t xml:space="preserve"> Per-security? Per-user? Per-module? Does it scale with security count?</w:t>
      </w:r>
    </w:p>
    <w:p>
      <w:pPr>
        <w:pStyle w:val="ListParagraph"/>
        <w:numPr>
          <w:ilvl w:val="0"/>
          <w:numId w:val="4"/>
        </w:numPr>
        <w:spacing w:after="60" w:before="60"/>
      </w:pPr>
      <w:r>
        <w:rPr>
          <w:rFonts w:ascii="Arial" w:cs="Arial" w:eastAsia="Arial" w:hAnsi="Arial"/>
          <w:b/>
          <w:bCs/>
          <w:color w:val="0A1F2E"/>
          <w:sz w:val="22"/>
          <w:szCs w:val="22"/>
        </w:rPr>
        <w:t xml:space="preserve">Parallel-run budget:</w:t>
      </w:r>
      <w:r>
        <w:rPr>
          <w:rFonts w:ascii="Arial" w:cs="Arial" w:eastAsia="Arial" w:hAnsi="Arial"/>
          <w:color w:val="0A1F2E"/>
          <w:sz w:val="22"/>
          <w:szCs w:val="22"/>
        </w:rPr>
        <w:t xml:space="preserve"> What is the budget envelope for running both stacks over 12-18 months?</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Migration &amp; Cutover</w:t>
      </w:r>
    </w:p>
    <w:p>
      <w:pPr>
        <w:pStyle w:val="ListParagraph"/>
        <w:numPr>
          <w:ilvl w:val="0"/>
          <w:numId w:val="4"/>
        </w:numPr>
        <w:spacing w:after="60" w:before="60"/>
      </w:pPr>
      <w:r>
        <w:rPr>
          <w:rFonts w:ascii="Arial" w:cs="Arial" w:eastAsia="Arial" w:hAnsi="Arial"/>
          <w:b/>
          <w:bCs/>
          <w:color w:val="0A1F2E"/>
          <w:sz w:val="22"/>
          <w:szCs w:val="22"/>
        </w:rPr>
        <w:t xml:space="preserve">Consumer migration cohorts:</w:t>
      </w:r>
      <w:r>
        <w:rPr>
          <w:rFonts w:ascii="Arial" w:cs="Arial" w:eastAsia="Arial" w:hAnsi="Arial"/>
          <w:color w:val="0A1F2E"/>
          <w:sz w:val="22"/>
          <w:szCs w:val="22"/>
        </w:rPr>
        <w:t xml:space="preserve"> Of the ~1,000 consumer contracts, how many can migrate to canonical vs. need backwards-compatible feeds?</w:t>
      </w:r>
    </w:p>
    <w:p>
      <w:pPr>
        <w:pStyle w:val="ListParagraph"/>
        <w:numPr>
          <w:ilvl w:val="0"/>
          <w:numId w:val="4"/>
        </w:numPr>
        <w:spacing w:after="60" w:before="60"/>
      </w:pPr>
      <w:r>
        <w:rPr>
          <w:rFonts w:ascii="Arial" w:cs="Arial" w:eastAsia="Arial" w:hAnsi="Arial"/>
          <w:b/>
          <w:bCs/>
          <w:color w:val="0A1F2E"/>
          <w:sz w:val="22"/>
          <w:szCs w:val="22"/>
        </w:rPr>
        <w:t xml:space="preserve">Parallel-run tolerance:</w:t>
      </w:r>
      <w:r>
        <w:rPr>
          <w:rFonts w:ascii="Arial" w:cs="Arial" w:eastAsia="Arial" w:hAnsi="Arial"/>
          <w:color w:val="0A1F2E"/>
          <w:sz w:val="22"/>
          <w:szCs w:val="22"/>
        </w:rPr>
        <w:t xml:space="preserve"> What parallel-run period will the business accept? 3, 6, 12 months? Cost compounds.</w:t>
      </w:r>
    </w:p>
    <w:p>
      <w:pPr>
        <w:pStyle w:val="ListParagraph"/>
        <w:numPr>
          <w:ilvl w:val="0"/>
          <w:numId w:val="4"/>
        </w:numPr>
        <w:spacing w:after="60" w:before="60"/>
      </w:pPr>
      <w:r>
        <w:rPr>
          <w:rFonts w:ascii="Arial" w:cs="Arial" w:eastAsia="Arial" w:hAnsi="Arial"/>
          <w:b/>
          <w:bCs/>
          <w:color w:val="0A1F2E"/>
          <w:sz w:val="22"/>
          <w:szCs w:val="22"/>
        </w:rPr>
        <w:t xml:space="preserve">UAF reuse of pattern:</w:t>
      </w:r>
      <w:r>
        <w:rPr>
          <w:rFonts w:ascii="Arial" w:cs="Arial" w:eastAsia="Arial" w:hAnsi="Arial"/>
          <w:color w:val="0A1F2E"/>
          <w:sz w:val="22"/>
          <w:szCs w:val="22"/>
        </w:rPr>
        <w:t xml:space="preserve"> Investigation #2 from the SMF strategy deck — same architecture, different override semantics (client-sourced not vendor-sourced). Needs a dedicated working session.</w:t>
      </w:r>
    </w:p>
    <w:p>
      <w:pPr>
        <w:pStyle w:val="ListParagraph"/>
        <w:numPr>
          <w:ilvl w:val="0"/>
          <w:numId w:val="4"/>
        </w:numPr>
        <w:spacing w:after="60" w:before="60"/>
      </w:pPr>
      <w:r>
        <w:rPr>
          <w:rFonts w:ascii="Arial" w:cs="Arial" w:eastAsia="Arial" w:hAnsi="Arial"/>
          <w:b/>
          <w:bCs/>
          <w:color w:val="0A1F2E"/>
          <w:sz w:val="22"/>
          <w:szCs w:val="22"/>
        </w:rPr>
        <w:t xml:space="preserve">Rollback plan:</w:t>
      </w:r>
      <w:r>
        <w:rPr>
          <w:rFonts w:ascii="Arial" w:cs="Arial" w:eastAsia="Arial" w:hAnsi="Arial"/>
          <w:color w:val="0A1F2E"/>
          <w:sz w:val="22"/>
          <w:szCs w:val="22"/>
        </w:rPr>
        <w:t xml:space="preserve"> If Phase 2 reconciliation fails to converge within the agreed timebox, what is the exit?</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Decision-Forcing</w:t>
      </w:r>
    </w:p>
    <w:p>
      <w:pPr>
        <w:pStyle w:val="ListParagraph"/>
        <w:numPr>
          <w:ilvl w:val="0"/>
          <w:numId w:val="4"/>
        </w:numPr>
        <w:spacing w:after="60" w:before="60"/>
      </w:pPr>
      <w:r>
        <w:rPr>
          <w:rFonts w:ascii="Arial" w:cs="Arial" w:eastAsia="Arial" w:hAnsi="Arial"/>
          <w:b/>
          <w:bCs/>
          <w:color w:val="0A1F2E"/>
          <w:sz w:val="22"/>
          <w:szCs w:val="22"/>
        </w:rPr>
        <w:t xml:space="preserve">Option 3 decommission trigger:</w:t>
      </w:r>
      <w:r>
        <w:rPr>
          <w:rFonts w:ascii="Arial" w:cs="Arial" w:eastAsia="Arial" w:hAnsi="Arial"/>
          <w:color w:val="0A1F2E"/>
          <w:sz w:val="22"/>
          <w:szCs w:val="22"/>
        </w:rPr>
        <w:t xml:space="preserve"> If Option 3 is chosen, what is the explicit trigger — date, security count, consumer count, contract milestone?</w:t>
      </w:r>
    </w:p>
    <w:p>
      <w:pPr>
        <w:pStyle w:val="ListParagraph"/>
        <w:numPr>
          <w:ilvl w:val="0"/>
          <w:numId w:val="4"/>
        </w:numPr>
        <w:spacing w:after="60" w:before="60"/>
      </w:pPr>
      <w:r>
        <w:rPr>
          <w:rFonts w:ascii="Arial" w:cs="Arial" w:eastAsia="Arial" w:hAnsi="Arial"/>
          <w:b/>
          <w:bCs/>
          <w:color w:val="0A1F2E"/>
          <w:sz w:val="22"/>
          <w:szCs w:val="22"/>
        </w:rPr>
        <w:t xml:space="preserve">Scope boundary:</w:t>
      </w:r>
      <w:r>
        <w:rPr>
          <w:rFonts w:ascii="Arial" w:cs="Arial" w:eastAsia="Arial" w:hAnsi="Arial"/>
          <w:color w:val="0A1F2E"/>
          <w:sz w:val="22"/>
          <w:szCs w:val="22"/>
        </w:rPr>
        <w:t xml:space="preserve"> Is SMF SSOT a CP-only objective or firmwide? Changes the scope by 10x.</w:t>
      </w:r>
    </w:p>
    <w:p>
      <w:pPr>
        <w:pStyle w:val="ListParagraph"/>
        <w:numPr>
          <w:ilvl w:val="0"/>
          <w:numId w:val="4"/>
        </w:numPr>
        <w:spacing w:after="60" w:before="60"/>
      </w:pPr>
      <w:r>
        <w:rPr>
          <w:rFonts w:ascii="Arial" w:cs="Arial" w:eastAsia="Arial" w:hAnsi="Arial"/>
          <w:b/>
          <w:bCs/>
          <w:color w:val="0A1F2E"/>
          <w:sz w:val="22"/>
          <w:szCs w:val="22"/>
        </w:rPr>
        <w:t xml:space="preserve">SWP loader cap:</w:t>
      </w:r>
      <w:r>
        <w:rPr>
          <w:rFonts w:ascii="Arial" w:cs="Arial" w:eastAsia="Arial" w:hAnsi="Arial"/>
          <w:color w:val="0A1F2E"/>
          <w:sz w:val="22"/>
          <w:szCs w:val="22"/>
        </w:rPr>
        <w:t xml:space="preserve"> Must get a numeric SLA from SEI in writing before commit. The loader limit is the foundational unknown.</w:t>
      </w:r>
    </w:p>
    <w:p>
      <w:pPr>
        <w:pStyle w:val="ListParagraph"/>
        <w:numPr>
          <w:ilvl w:val="0"/>
          <w:numId w:val="4"/>
        </w:numPr>
        <w:spacing w:after="60" w:before="60"/>
      </w:pPr>
      <w:r>
        <w:rPr>
          <w:rFonts w:ascii="Arial" w:cs="Arial" w:eastAsia="Arial" w:hAnsi="Arial"/>
          <w:b/>
          <w:bCs/>
          <w:color w:val="0A1F2E"/>
          <w:sz w:val="22"/>
          <w:szCs w:val="22"/>
        </w:rPr>
        <w:t xml:space="preserve">t-shirt sizes:</w:t>
      </w:r>
      <w:r>
        <w:rPr>
          <w:rFonts w:ascii="Arial" w:cs="Arial" w:eastAsia="Arial" w:hAnsi="Arial"/>
          <w:color w:val="0A1F2E"/>
          <w:sz w:val="22"/>
          <w:szCs w:val="22"/>
        </w:rPr>
        <w:t xml:space="preserve"> What are the IT t-shirt sizes on timeline impacts for strategic and semi-strategic, including parallel-run cost, not just build cost?</w:t>
      </w:r>
    </w:p>
    <w:p>
      <w:pPr>
        <w:spacing w:after="0" w:before="0"/>
      </w:pPr>
      <w:r>
        <w:br w:type="page"/>
      </w:r>
    </w:p>
    <w:p>
      <w:pPr>
        <w:pStyle w:val="Heading1"/>
        <w:pBdr>
          <w:bottom w:val="single" w:color="1F5C6B" w:sz="4" w:space="6"/>
        </w:pBdr>
        <w:spacing w:after="180" w:before="360"/>
      </w:pPr>
      <w:r>
        <w:rPr>
          <w:rFonts w:ascii="Arial" w:cs="Arial" w:eastAsia="Arial" w:hAnsi="Arial"/>
          <w:b/>
          <w:bCs/>
          <w:color w:val="0A1F2E"/>
          <w:sz w:val="32"/>
          <w:szCs w:val="32"/>
        </w:rPr>
        <w:t xml:space="preserve">Chapter 12: Talking Points for the Review Meeting</w:t>
      </w:r>
    </w:p>
    <w:p>
      <w:pPr>
        <w:pStyle w:val="Heading2"/>
        <w:spacing w:after="120" w:before="300"/>
      </w:pPr>
      <w:r>
        <w:rPr>
          <w:rFonts w:ascii="Arial" w:cs="Arial" w:eastAsia="Arial" w:hAnsi="Arial"/>
          <w:b/>
          <w:bCs/>
          <w:color w:val="1F5C6B"/>
          <w:sz w:val="26"/>
          <w:szCs w:val="26"/>
        </w:rPr>
        <w:t xml:space="preserve">Opening Frame (Before Any Slide)</w:t>
      </w:r>
    </w:p>
    <w:p>
      <w:pPr>
        <w:pBdr>
          <w:left w:val="single" w:color="1F5C6B" w:sz="12" w:space="6"/>
        </w:pBdr>
        <w:shd w:fill="D0E4E8" w:val="clear"/>
        <w:spacing w:after="120" w:before="120"/>
        <w:ind w:left="180"/>
      </w:pPr>
      <w:r>
        <w:rPr>
          <w:rFonts w:ascii="Arial" w:cs="Arial" w:eastAsia="Arial" w:hAnsi="Arial"/>
          <w:i/>
          <w:iCs/>
          <w:color w:val="0A1F2E"/>
          <w:sz w:val="22"/>
          <w:szCs w:val="22"/>
        </w:rPr>
        <w:t xml:space="preserve">What we have today is two separate SMF operating models — PB runs through Addvantage as the de-facto master, IM runs through the Data Warehouse. Neither was designed to be the security master; they became one by accident. SWP migration forces us to decide whether we keep accidentally doing MDM, or finally build it on purpose.</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On Option 1</w:t>
      </w:r>
    </w:p>
    <w:p>
      <w:pPr>
        <w:pStyle w:val="ListParagraph"/>
        <w:numPr>
          <w:ilvl w:val="0"/>
          <w:numId w:val="4"/>
        </w:numPr>
        <w:spacing w:after="60" w:before="60"/>
      </w:pPr>
      <w:r>
        <w:rPr>
          <w:rFonts w:ascii="Arial" w:cs="Arial" w:eastAsia="Arial" w:hAnsi="Arial"/>
          <w:b/>
          <w:bCs/>
          <w:color w:val="0A1F2E"/>
          <w:sz w:val="22"/>
          <w:szCs w:val="22"/>
        </w:rPr>
        <w:t xml:space="preserve">Lead with:</w:t>
      </w:r>
      <w:r>
        <w:rPr>
          <w:rFonts w:ascii="Arial" w:cs="Arial" w:eastAsia="Arial" w:hAnsi="Arial"/>
          <w:color w:val="0A1F2E"/>
          <w:sz w:val="22"/>
          <w:szCs w:val="22"/>
        </w:rPr>
        <w:t xml:space="preserve"> Eight bullets in the deck, seven negative. The deck answers itself.</w:t>
      </w:r>
    </w:p>
    <w:p>
      <w:pPr>
        <w:pStyle w:val="ListParagraph"/>
        <w:numPr>
          <w:ilvl w:val="0"/>
          <w:numId w:val="4"/>
        </w:numPr>
        <w:spacing w:after="60" w:before="60"/>
      </w:pPr>
      <w:r>
        <w:rPr>
          <w:rFonts w:ascii="Arial" w:cs="Arial" w:eastAsia="Arial" w:hAnsi="Arial"/>
          <w:b/>
          <w:bCs/>
          <w:color w:val="0A1F2E"/>
          <w:sz w:val="22"/>
          <w:szCs w:val="22"/>
        </w:rPr>
        <w:t xml:space="preserve">The risk angle:</w:t>
      </w:r>
      <w:r>
        <w:rPr>
          <w:rFonts w:ascii="Arial" w:cs="Arial" w:eastAsia="Arial" w:hAnsi="Arial"/>
          <w:color w:val="0A1F2E"/>
          <w:sz w:val="22"/>
          <w:szCs w:val="22"/>
        </w:rPr>
        <w:t xml:space="preserve"> The risk of putting the PB SMF team in charge of complex FI instruments they do not manage today is regulatory, not just operational.</w:t>
      </w:r>
    </w:p>
    <w:p>
      <w:pPr>
        <w:pStyle w:val="ListParagraph"/>
        <w:numPr>
          <w:ilvl w:val="0"/>
          <w:numId w:val="4"/>
        </w:numPr>
        <w:spacing w:after="60" w:before="60"/>
      </w:pPr>
      <w:r>
        <w:rPr>
          <w:rFonts w:ascii="Arial" w:cs="Arial" w:eastAsia="Arial" w:hAnsi="Arial"/>
          <w:b/>
          <w:bCs/>
          <w:color w:val="0A1F2E"/>
          <w:sz w:val="22"/>
          <w:szCs w:val="22"/>
        </w:rPr>
        <w:t xml:space="preserve">The SEI DataHub angle:</w:t>
      </w:r>
      <w:r>
        <w:rPr>
          <w:rFonts w:ascii="Arial" w:cs="Arial" w:eastAsia="Arial" w:hAnsi="Arial"/>
          <w:color w:val="0A1F2E"/>
          <w:sz w:val="22"/>
          <w:szCs w:val="22"/>
        </w:rPr>
        <w:t xml:space="preserve"> Option 1 contradicts four of the five 'Why' pillars. It is a modernization that doesn't modernize data quality.</w:t>
      </w:r>
    </w:p>
    <w:p>
      <w:pPr>
        <w:pStyle w:val="ListParagraph"/>
        <w:numPr>
          <w:ilvl w:val="0"/>
          <w:numId w:val="4"/>
        </w:numPr>
        <w:spacing w:after="60" w:before="60"/>
      </w:pPr>
      <w:r>
        <w:rPr>
          <w:rFonts w:ascii="Arial" w:cs="Arial" w:eastAsia="Arial" w:hAnsi="Arial"/>
          <w:b/>
          <w:bCs/>
          <w:color w:val="0A1F2E"/>
          <w:sz w:val="22"/>
          <w:szCs w:val="22"/>
        </w:rPr>
        <w:t xml:space="preserve">Question to surface:</w:t>
      </w:r>
      <w:r>
        <w:rPr>
          <w:rFonts w:ascii="Arial" w:cs="Arial" w:eastAsia="Arial" w:hAnsi="Arial"/>
          <w:color w:val="0A1F2E"/>
          <w:sz w:val="22"/>
          <w:szCs w:val="22"/>
        </w:rPr>
        <w:t xml:space="preserve"> If we do Option 1, what is our answer to the next ARB on data strategy alignment?</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On Option 2</w:t>
      </w:r>
    </w:p>
    <w:p>
      <w:pPr>
        <w:pStyle w:val="ListParagraph"/>
        <w:numPr>
          <w:ilvl w:val="0"/>
          <w:numId w:val="4"/>
        </w:numPr>
        <w:spacing w:after="60" w:before="60"/>
      </w:pPr>
      <w:r>
        <w:rPr>
          <w:rFonts w:ascii="Arial" w:cs="Arial" w:eastAsia="Arial" w:hAnsi="Arial"/>
          <w:b/>
          <w:bCs/>
          <w:color w:val="0A1F2E"/>
          <w:sz w:val="22"/>
          <w:szCs w:val="22"/>
        </w:rPr>
        <w:t xml:space="preserve">Lead with:</w:t>
      </w:r>
      <w:r>
        <w:rPr>
          <w:rFonts w:ascii="Arial" w:cs="Arial" w:eastAsia="Arial" w:hAnsi="Arial"/>
          <w:color w:val="0A1F2E"/>
          <w:sz w:val="22"/>
          <w:szCs w:val="22"/>
        </w:rPr>
        <w:t xml:space="preserve"> This is the architecture that ages well. Ten years from now, no one regrets having a real MDM.</w:t>
      </w:r>
    </w:p>
    <w:p>
      <w:pPr>
        <w:pStyle w:val="ListParagraph"/>
        <w:numPr>
          <w:ilvl w:val="0"/>
          <w:numId w:val="4"/>
        </w:numPr>
        <w:spacing w:after="60" w:before="60"/>
      </w:pPr>
      <w:r>
        <w:rPr>
          <w:rFonts w:ascii="Arial" w:cs="Arial" w:eastAsia="Arial" w:hAnsi="Arial"/>
          <w:b/>
          <w:bCs/>
          <w:color w:val="0A1F2E"/>
          <w:sz w:val="22"/>
          <w:szCs w:val="22"/>
        </w:rPr>
        <w:t xml:space="preserve">The protection angle:</w:t>
      </w:r>
      <w:r>
        <w:rPr>
          <w:rFonts w:ascii="Arial" w:cs="Arial" w:eastAsia="Arial" w:hAnsi="Arial"/>
          <w:color w:val="0A1F2E"/>
          <w:sz w:val="22"/>
          <w:szCs w:val="22"/>
        </w:rPr>
        <w:t xml:space="preserve"> Bullet 8 — limits SWP scope to accounting. It actually protects SWP by keeping it focused. SEI scope creep into SWP is a long-term cost we are not pricing.</w:t>
      </w:r>
    </w:p>
    <w:p>
      <w:pPr>
        <w:pStyle w:val="ListParagraph"/>
        <w:numPr>
          <w:ilvl w:val="0"/>
          <w:numId w:val="4"/>
        </w:numPr>
        <w:spacing w:after="60" w:before="60"/>
      </w:pPr>
      <w:r>
        <w:rPr>
          <w:rFonts w:ascii="Arial" w:cs="Arial" w:eastAsia="Arial" w:hAnsi="Arial"/>
          <w:b/>
          <w:bCs/>
          <w:color w:val="0A1F2E"/>
          <w:sz w:val="22"/>
          <w:szCs w:val="22"/>
        </w:rPr>
        <w:t xml:space="preserve">The decision in the room:</w:t>
      </w:r>
      <w:r>
        <w:rPr>
          <w:rFonts w:ascii="Arial" w:cs="Arial" w:eastAsia="Arial" w:hAnsi="Arial"/>
          <w:color w:val="0A1F2E"/>
          <w:sz w:val="22"/>
          <w:szCs w:val="22"/>
        </w:rPr>
        <w:t xml:space="preserve"> The question is not which option. It is whether we are solving for SWP go-live timing or for the next ten years of CP data strategy.</w:t>
      </w:r>
    </w:p>
    <w:p>
      <w:pPr>
        <w:pStyle w:val="ListParagraph"/>
        <w:numPr>
          <w:ilvl w:val="0"/>
          <w:numId w:val="4"/>
        </w:numPr>
        <w:spacing w:after="60" w:before="60"/>
      </w:pPr>
      <w:r>
        <w:rPr>
          <w:rFonts w:ascii="Arial" w:cs="Arial" w:eastAsia="Arial" w:hAnsi="Arial"/>
          <w:b/>
          <w:bCs/>
          <w:color w:val="0A1F2E"/>
          <w:sz w:val="22"/>
          <w:szCs w:val="22"/>
        </w:rPr>
        <w:t xml:space="preserve">Question to surface:</w:t>
      </w:r>
      <w:r>
        <w:rPr>
          <w:rFonts w:ascii="Arial" w:cs="Arial" w:eastAsia="Arial" w:hAnsi="Arial"/>
          <w:color w:val="0A1F2E"/>
          <w:sz w:val="22"/>
          <w:szCs w:val="22"/>
        </w:rPr>
        <w:t xml:space="preserve"> If we commit to Option 2, can we get the SWP scope locked to accounting-only in the SEI contract?</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On Option 3</w:t>
      </w:r>
    </w:p>
    <w:p>
      <w:pPr>
        <w:pStyle w:val="ListParagraph"/>
        <w:numPr>
          <w:ilvl w:val="0"/>
          <w:numId w:val="4"/>
        </w:numPr>
        <w:spacing w:after="60" w:before="60"/>
      </w:pPr>
      <w:r>
        <w:rPr>
          <w:rFonts w:ascii="Arial" w:cs="Arial" w:eastAsia="Arial" w:hAnsi="Arial"/>
          <w:b/>
          <w:bCs/>
          <w:color w:val="0A1F2E"/>
          <w:sz w:val="22"/>
          <w:szCs w:val="22"/>
        </w:rPr>
        <w:t xml:space="preserve">Lead with:</w:t>
      </w:r>
      <w:r>
        <w:rPr>
          <w:rFonts w:ascii="Arial" w:cs="Arial" w:eastAsia="Arial" w:hAnsi="Arial"/>
          <w:color w:val="0A1F2E"/>
          <w:sz w:val="22"/>
          <w:szCs w:val="22"/>
        </w:rPr>
        <w:t xml:space="preserve"> Presented as the happy medium. It is a transitional state dressed up as a destination.</w:t>
      </w:r>
    </w:p>
    <w:p>
      <w:pPr>
        <w:pStyle w:val="ListParagraph"/>
        <w:numPr>
          <w:ilvl w:val="0"/>
          <w:numId w:val="4"/>
        </w:numPr>
        <w:spacing w:after="60" w:before="60"/>
      </w:pPr>
      <w:r>
        <w:rPr>
          <w:rFonts w:ascii="Arial" w:cs="Arial" w:eastAsia="Arial" w:hAnsi="Arial"/>
          <w:b/>
          <w:bCs/>
          <w:color w:val="0A1F2E"/>
          <w:sz w:val="22"/>
          <w:szCs w:val="22"/>
        </w:rPr>
        <w:t xml:space="preserve">The tell:</w:t>
      </w:r>
      <w:r>
        <w:rPr>
          <w:rFonts w:ascii="Arial" w:cs="Arial" w:eastAsia="Arial" w:hAnsi="Arial"/>
          <w:color w:val="0A1F2E"/>
          <w:sz w:val="22"/>
          <w:szCs w:val="22"/>
        </w:rPr>
        <w:t xml:space="preserve"> Bullet 8 — 'Forces SWP to pass-thru ALL SMF data needed for IMDS &amp; PBWH.' We are keeping SWP in the data path. That recreates the original problem in a different shape.</w:t>
      </w:r>
    </w:p>
    <w:p>
      <w:pPr>
        <w:pStyle w:val="ListParagraph"/>
        <w:numPr>
          <w:ilvl w:val="0"/>
          <w:numId w:val="4"/>
        </w:numPr>
        <w:spacing w:after="60" w:before="60"/>
      </w:pPr>
      <w:r>
        <w:rPr>
          <w:rFonts w:ascii="Arial" w:cs="Arial" w:eastAsia="Arial" w:hAnsi="Arial"/>
          <w:b/>
          <w:bCs/>
          <w:color w:val="0A1F2E"/>
          <w:sz w:val="22"/>
          <w:szCs w:val="22"/>
        </w:rPr>
        <w:t xml:space="preserve">The only defense:</w:t>
      </w:r>
      <w:r>
        <w:rPr>
          <w:rFonts w:ascii="Arial" w:cs="Arial" w:eastAsia="Arial" w:hAnsi="Arial"/>
          <w:color w:val="0A1F2E"/>
          <w:sz w:val="22"/>
          <w:szCs w:val="22"/>
        </w:rPr>
        <w:t xml:space="preserve"> Option 3 is defensible only if the ADR explicitly states it is Phase 1 of Option 2, with a hard decommission trigger.</w:t>
      </w:r>
    </w:p>
    <w:p>
      <w:pPr>
        <w:pStyle w:val="ListParagraph"/>
        <w:numPr>
          <w:ilvl w:val="0"/>
          <w:numId w:val="4"/>
        </w:numPr>
        <w:spacing w:after="60" w:before="60"/>
      </w:pPr>
      <w:r>
        <w:rPr>
          <w:rFonts w:ascii="Arial" w:cs="Arial" w:eastAsia="Arial" w:hAnsi="Arial"/>
          <w:b/>
          <w:bCs/>
          <w:color w:val="0A1F2E"/>
          <w:sz w:val="22"/>
          <w:szCs w:val="22"/>
        </w:rPr>
        <w:t xml:space="preserve">Question to surface:</w:t>
      </w:r>
      <w:r>
        <w:rPr>
          <w:rFonts w:ascii="Arial" w:cs="Arial" w:eastAsia="Arial" w:hAnsi="Arial"/>
          <w:color w:val="0A1F2E"/>
          <w:sz w:val="22"/>
          <w:szCs w:val="22"/>
        </w:rPr>
        <w:t xml:space="preserve"> If we pick Option 3, what is the explicit decommission criteria? Who owns the migration path to Option 2, and is it funded?</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On the Contract-First Strategy</w:t>
      </w:r>
    </w:p>
    <w:p>
      <w:pPr>
        <w:pBdr>
          <w:left w:val="single" w:color="1F5C6B" w:sz="12" w:space="6"/>
        </w:pBdr>
        <w:shd w:fill="D0E4E8" w:val="clear"/>
        <w:spacing w:after="120" w:before="120"/>
        <w:ind w:left="180"/>
      </w:pPr>
      <w:r>
        <w:rPr>
          <w:rFonts w:ascii="Arial" w:cs="Arial" w:eastAsia="Arial" w:hAnsi="Arial"/>
          <w:i/>
          <w:iCs/>
          <w:color w:val="0A1F2E"/>
          <w:sz w:val="22"/>
          <w:szCs w:val="22"/>
        </w:rPr>
        <w:t xml:space="preserve">'We are going to deliver SWP on schedule by removing the MDM coupling that the current Option 2 architecture introduces. We do this by building the SMF Canonical Contract in Year 1 — using our existing dbt-Oracle platform, costing significantly less than a GoldenSource Phase 1, and decoupling the SWP timeline from any future MDM platform decision. In Year 2, with SWP live and the contract operational, we make the GoldenSource decision empirically.'</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Closing Frame</w:t>
      </w:r>
    </w:p>
    <w:p>
      <w:pPr>
        <w:pBdr>
          <w:left w:val="single" w:color="C9A961" w:sz="12" w:space="6"/>
        </w:pBdr>
        <w:shd w:fill="F4EFEA" w:val="clear"/>
        <w:spacing w:after="120" w:before="120"/>
        <w:ind w:left="180"/>
      </w:pPr>
      <w:r>
        <w:rPr>
          <w:rFonts w:ascii="Arial" w:cs="Arial" w:eastAsia="Arial" w:hAnsi="Arial"/>
          <w:i/>
          <w:iCs/>
          <w:color w:val="0A1F2E"/>
          <w:sz w:val="22"/>
          <w:szCs w:val="22"/>
        </w:rPr>
        <w:t xml:space="preserve">The framing in this deck is good — three options, clear tradeoffs. The decision the room needs to make today is not which option. It is whether we are solving for SWP go-live timing or for the next ten years of CP data strategy. If it is the former: Option 3 with a hard decommission date. If it is the latter: the contract-first strategy in Year 1, GoldenSource decision in Year 2. Option 1 is off the table for anyone who has read past slide 5.</w:t>
      </w:r>
    </w:p>
    <w:p>
      <w:pPr>
        <w:spacing w:after="0" w:before="0"/>
      </w:pPr>
      <w:r>
        <w:br w:type="page"/>
      </w:r>
    </w:p>
    <w:p>
      <w:pPr>
        <w:pStyle w:val="Heading1"/>
        <w:pBdr>
          <w:bottom w:val="single" w:color="1F5C6B" w:sz="4" w:space="6"/>
        </w:pBdr>
        <w:spacing w:after="180" w:before="360"/>
      </w:pPr>
      <w:r>
        <w:rPr>
          <w:rFonts w:ascii="Arial" w:cs="Arial" w:eastAsia="Arial" w:hAnsi="Arial"/>
          <w:b/>
          <w:bCs/>
          <w:color w:val="0A1F2E"/>
          <w:sz w:val="32"/>
          <w:szCs w:val="32"/>
        </w:rPr>
        <w:t xml:space="preserve">Appendix A: Email Draft — Stakeholder Communication</w:t>
      </w:r>
    </w:p>
    <w:p>
      <w:pPr>
        <w:pStyle w:val="Heading2"/>
        <w:spacing w:after="120" w:before="300"/>
      </w:pPr>
      <w:r>
        <w:rPr>
          <w:rFonts w:ascii="Arial" w:cs="Arial" w:eastAsia="Arial" w:hAnsi="Arial"/>
          <w:b/>
          <w:bCs/>
          <w:color w:val="1F5C6B"/>
          <w:sz w:val="26"/>
          <w:szCs w:val="26"/>
        </w:rPr>
        <w:t xml:space="preserve">Subject: SMF MDM strategy — recommendation, options analysis, and proposed next step</w:t>
      </w:r>
    </w:p>
    <w:p>
      <w:pPr>
        <w:spacing w:after="60" w:before="60"/>
      </w:pPr>
      <w:r>
        <w:t xml:space="preserve"/>
      </w:r>
    </w:p>
    <w:p>
      <w:pPr>
        <w:spacing w:after="100" w:before="80"/>
        <w:jc w:val="left"/>
      </w:pPr>
      <w:r>
        <w:rPr>
          <w:rFonts w:ascii="Arial" w:cs="Arial" w:eastAsia="Arial" w:hAnsi="Arial"/>
          <w:b w:val="false"/>
          <w:bCs w:val="false"/>
          <w:i w:val="false"/>
          <w:iCs w:val="false"/>
          <w:color w:val="0A1F2E"/>
          <w:sz w:val="22"/>
          <w:szCs w:val="22"/>
        </w:rPr>
        <w:t xml:space="preserve">All,</w:t>
      </w:r>
    </w:p>
    <w:p>
      <w:pPr>
        <w:spacing w:after="60" w:before="60"/>
      </w:pPr>
      <w:r>
        <w:t xml:space="preserve"/>
      </w:r>
    </w:p>
    <w:p>
      <w:pPr>
        <w:spacing w:after="100" w:before="80"/>
        <w:jc w:val="left"/>
      </w:pPr>
      <w:r>
        <w:rPr>
          <w:rFonts w:ascii="Arial" w:cs="Arial" w:eastAsia="Arial" w:hAnsi="Arial"/>
          <w:b w:val="false"/>
          <w:bCs w:val="false"/>
          <w:i w:val="false"/>
          <w:iCs w:val="false"/>
          <w:color w:val="0A1F2E"/>
          <w:sz w:val="22"/>
          <w:szCs w:val="22"/>
        </w:rPr>
        <w:t xml:space="preserve">Following the SMF strategy review, I want to consolidate where I think we land on the architecture choice and what I'd propose as the next step before commit. This is consequential — five-year horizon, multi-domain implications, and meaningful TCO either way.</w:t>
      </w:r>
    </w:p>
    <w:p>
      <w:pPr>
        <w:spacing w:after="60" w:before="60"/>
      </w:pPr>
      <w:r>
        <w:t xml:space="preserve"/>
      </w:r>
    </w:p>
    <w:p>
      <w:pPr>
        <w:spacing w:after="80" w:before="180"/>
      </w:pPr>
      <w:r>
        <w:rPr>
          <w:rFonts w:ascii="Arial" w:cs="Arial" w:eastAsia="Arial" w:hAnsi="Arial"/>
          <w:b/>
          <w:bCs/>
          <w:caps/>
          <w:color w:val="1F5C6B"/>
          <w:sz w:val="18"/>
          <w:szCs w:val="18"/>
        </w:rPr>
        <w:t xml:space="preserve">THE RECOMMENDATION</w:t>
      </w:r>
    </w:p>
    <w:p>
      <w:pPr>
        <w:spacing w:after="100" w:before="80"/>
        <w:jc w:val="left"/>
      </w:pPr>
      <w:r>
        <w:rPr>
          <w:rFonts w:ascii="Arial" w:cs="Arial" w:eastAsia="Arial" w:hAnsi="Arial"/>
          <w:b w:val="false"/>
          <w:bCs w:val="false"/>
          <w:i w:val="false"/>
          <w:iCs w:val="false"/>
          <w:color w:val="0A1F2E"/>
          <w:sz w:val="22"/>
          <w:szCs w:val="22"/>
        </w:rPr>
        <w:t xml:space="preserve">Commit to Option 2 (Strategic) as the target. Use Option 3 only as a transitional Phase 1 if SWP go-live timing forces it, and only with an explicit, contractual decommission trigger written into the architecture decision record. Option 1 is off the table.</w:t>
      </w:r>
    </w:p>
    <w:p>
      <w:pPr>
        <w:spacing w:after="60" w:before="60"/>
      </w:pPr>
      <w:r>
        <w:t xml:space="preserve"/>
      </w:r>
    </w:p>
    <w:p>
      <w:pPr>
        <w:spacing w:after="80" w:before="180"/>
      </w:pPr>
      <w:r>
        <w:rPr>
          <w:rFonts w:ascii="Arial" w:cs="Arial" w:eastAsia="Arial" w:hAnsi="Arial"/>
          <w:b/>
          <w:bCs/>
          <w:caps/>
          <w:color w:val="1F5C6B"/>
          <w:sz w:val="18"/>
          <w:szCs w:val="18"/>
        </w:rPr>
        <w:t xml:space="preserve">WHY THIS MATTERS BEYOND SMF</w:t>
      </w:r>
    </w:p>
    <w:p>
      <w:pPr>
        <w:spacing w:after="100" w:before="80"/>
        <w:jc w:val="left"/>
      </w:pPr>
      <w:r>
        <w:rPr>
          <w:rFonts w:ascii="Arial" w:cs="Arial" w:eastAsia="Arial" w:hAnsi="Arial"/>
          <w:b w:val="false"/>
          <w:bCs w:val="false"/>
          <w:i w:val="false"/>
          <w:iCs w:val="false"/>
          <w:color w:val="0A1F2E"/>
          <w:sz w:val="22"/>
          <w:szCs w:val="22"/>
        </w:rPr>
        <w:t xml:space="preserve">The SMF decision sets the platform pattern that Party, Account, and a cross-domain identity graph will inherit over the next five years. The platform investment amortizes across all domains — second domain at roughly 60% of the first domain's cost. That is the case for a multi-domain program rather than four separate efforts.</w:t>
      </w:r>
    </w:p>
    <w:p>
      <w:pPr>
        <w:spacing w:after="60" w:before="60"/>
      </w:pPr>
      <w:r>
        <w:t xml:space="preserve"/>
      </w:r>
    </w:p>
    <w:p>
      <w:pPr>
        <w:spacing w:after="80" w:before="180"/>
      </w:pPr>
      <w:r>
        <w:rPr>
          <w:rFonts w:ascii="Arial" w:cs="Arial" w:eastAsia="Arial" w:hAnsi="Arial"/>
          <w:b/>
          <w:bCs/>
          <w:caps/>
          <w:color w:val="1F5C6B"/>
          <w:sz w:val="18"/>
          <w:szCs w:val="18"/>
        </w:rPr>
        <w:t xml:space="preserve">BUILD VS. BUY — THE HONEST MATH</w:t>
      </w:r>
    </w:p>
    <w:p>
      <w:pPr>
        <w:spacing w:after="100" w:before="80"/>
        <w:jc w:val="left"/>
      </w:pPr>
      <w:r>
        <w:rPr>
          <w:rFonts w:ascii="Arial" w:cs="Arial" w:eastAsia="Arial" w:hAnsi="Arial"/>
          <w:b w:val="false"/>
          <w:bCs w:val="false"/>
          <w:i w:val="false"/>
          <w:iCs w:val="false"/>
          <w:color w:val="0A1F2E"/>
          <w:sz w:val="22"/>
          <w:szCs w:val="22"/>
        </w:rPr>
        <w:t xml:space="preserve">GoldenSource is the obvious bought option. Buying removes roughly 50-60% of engineering build effort but leaves all the operating model, governance, internal source integration, and consumer migration work in BBH's court. 5-year TCO: bought ~$25-40M, build ~$30-50M. Closer than either side claims. My lean: hybrid — GoldenSource for SMF (vendor purpose-built), custom or hybrid for Account (BBH-specific, leverages our existing Oracle/Airflow/dbt platform).</w:t>
      </w:r>
    </w:p>
    <w:p>
      <w:pPr>
        <w:spacing w:after="60" w:before="60"/>
      </w:pPr>
      <w:r>
        <w:t xml:space="preserve"/>
      </w:r>
    </w:p>
    <w:p>
      <w:pPr>
        <w:spacing w:after="80" w:before="180"/>
      </w:pPr>
      <w:r>
        <w:rPr>
          <w:rFonts w:ascii="Arial" w:cs="Arial" w:eastAsia="Arial" w:hAnsi="Arial"/>
          <w:b/>
          <w:bCs/>
          <w:caps/>
          <w:color w:val="1F5C6B"/>
          <w:sz w:val="18"/>
          <w:szCs w:val="18"/>
        </w:rPr>
        <w:t xml:space="preserve">THE QUESTIONS THAT NEED ANSWERS BEFORE COMMIT</w:t>
      </w:r>
    </w:p>
    <w:p>
      <w:pPr>
        <w:pStyle w:val="ListParagraph"/>
        <w:numPr>
          <w:ilvl w:val="0"/>
          <w:numId w:val="4"/>
        </w:numPr>
        <w:spacing w:after="60" w:before="60"/>
      </w:pPr>
      <w:r>
        <w:rPr>
          <w:rFonts w:ascii="Arial" w:cs="Arial" w:eastAsia="Arial" w:hAnsi="Arial"/>
          <w:color w:val="0A1F2E"/>
          <w:sz w:val="22"/>
          <w:szCs w:val="22"/>
        </w:rPr>
        <w:t xml:space="preserve">Operating model: single SMF stewardship team — committed or aspirational?</w:t>
      </w:r>
    </w:p>
    <w:p>
      <w:pPr>
        <w:pStyle w:val="ListParagraph"/>
        <w:numPr>
          <w:ilvl w:val="0"/>
          <w:numId w:val="4"/>
        </w:numPr>
        <w:spacing w:after="60" w:before="60"/>
      </w:pPr>
      <w:r>
        <w:rPr>
          <w:rFonts w:ascii="Arial" w:cs="Arial" w:eastAsia="Arial" w:hAnsi="Arial"/>
          <w:color w:val="0A1F2E"/>
          <w:sz w:val="22"/>
          <w:szCs w:val="22"/>
        </w:rPr>
        <w:t xml:space="preserve">Scope: SMF SSOT for CP only or firmwide? (10x scope difference)</w:t>
      </w:r>
    </w:p>
    <w:p>
      <w:pPr>
        <w:pStyle w:val="ListParagraph"/>
        <w:numPr>
          <w:ilvl w:val="0"/>
          <w:numId w:val="4"/>
        </w:numPr>
        <w:spacing w:after="60" w:before="60"/>
      </w:pPr>
      <w:r>
        <w:rPr>
          <w:rFonts w:ascii="Arial" w:cs="Arial" w:eastAsia="Arial" w:hAnsi="Arial"/>
          <w:color w:val="0A1F2E"/>
          <w:sz w:val="22"/>
          <w:szCs w:val="22"/>
        </w:rPr>
        <w:t xml:space="preserve">If Option 3: what is the decommission trigger — date, security count, consumer count?</w:t>
      </w:r>
    </w:p>
    <w:p>
      <w:pPr>
        <w:pStyle w:val="ListParagraph"/>
        <w:numPr>
          <w:ilvl w:val="0"/>
          <w:numId w:val="4"/>
        </w:numPr>
        <w:spacing w:after="60" w:before="60"/>
      </w:pPr>
      <w:r>
        <w:rPr>
          <w:rFonts w:ascii="Arial" w:cs="Arial" w:eastAsia="Arial" w:hAnsi="Arial"/>
          <w:color w:val="0A1F2E"/>
          <w:sz w:val="22"/>
          <w:szCs w:val="22"/>
        </w:rPr>
        <w:t xml:space="preserve">SWP loader limits: numeric SLA from SEI in writing</w:t>
      </w:r>
    </w:p>
    <w:p>
      <w:pPr>
        <w:pStyle w:val="ListParagraph"/>
        <w:numPr>
          <w:ilvl w:val="0"/>
          <w:numId w:val="4"/>
        </w:numPr>
        <w:spacing w:after="60" w:before="60"/>
      </w:pPr>
      <w:r>
        <w:rPr>
          <w:rFonts w:ascii="Arial" w:cs="Arial" w:eastAsia="Arial" w:hAnsi="Arial"/>
          <w:color w:val="0A1F2E"/>
          <w:sz w:val="22"/>
          <w:szCs w:val="22"/>
        </w:rPr>
        <w:t xml:space="preserve">Bitemporal scope, intraday SLA, parallel-run tolerance, UAF pattern reuse</w:t>
      </w:r>
    </w:p>
    <w:p>
      <w:pPr>
        <w:spacing w:after="60" w:before="60"/>
      </w:pPr>
      <w:r>
        <w:t xml:space="preserve"/>
      </w:r>
    </w:p>
    <w:p>
      <w:pPr>
        <w:spacing w:after="80" w:before="180"/>
      </w:pPr>
      <w:r>
        <w:rPr>
          <w:rFonts w:ascii="Arial" w:cs="Arial" w:eastAsia="Arial" w:hAnsi="Arial"/>
          <w:b/>
          <w:bCs/>
          <w:caps/>
          <w:color w:val="1F5C6B"/>
          <w:sz w:val="18"/>
          <w:szCs w:val="18"/>
        </w:rPr>
        <w:t xml:space="preserve">PROPOSED NEXT STEP — 60-DAY EVALUATION BEFORE COMMIT</w:t>
      </w:r>
    </w:p>
    <w:p>
      <w:pPr>
        <w:pStyle w:val="ListParagraph"/>
        <w:numPr>
          <w:ilvl w:val="0"/>
          <w:numId w:val="13"/>
        </w:numPr>
        <w:spacing w:after="60" w:before="60"/>
      </w:pPr>
      <w:r>
        <w:rPr>
          <w:rFonts w:ascii="Arial" w:cs="Arial" w:eastAsia="Arial" w:hAnsi="Arial"/>
          <w:b/>
          <w:bCs/>
          <w:color w:val="0A1F2E"/>
          <w:sz w:val="22"/>
          <w:szCs w:val="22"/>
        </w:rPr>
        <w:t xml:space="preserve">Formal RFI to GoldenSource:</w:t>
      </w:r>
      <w:r>
        <w:rPr>
          <w:rFonts w:ascii="Arial" w:cs="Arial" w:eastAsia="Arial" w:hAnsi="Arial"/>
          <w:color w:val="0A1F2E"/>
          <w:sz w:val="22"/>
          <w:szCs w:val="22"/>
        </w:rPr>
        <w:t xml:space="preserve"> Covering air-gap deployment, BBH security review, SWP/CPWH integration, customer reference customization examples.</w:t>
      </w:r>
    </w:p>
    <w:p>
      <w:pPr>
        <w:pStyle w:val="ListParagraph"/>
        <w:numPr>
          <w:ilvl w:val="0"/>
          <w:numId w:val="13"/>
        </w:numPr>
        <w:spacing w:after="60" w:before="60"/>
      </w:pPr>
      <w:r>
        <w:rPr>
          <w:rFonts w:ascii="Arial" w:cs="Arial" w:eastAsia="Arial" w:hAnsi="Arial"/>
          <w:b/>
          <w:bCs/>
          <w:color w:val="0A1F2E"/>
          <w:sz w:val="22"/>
          <w:szCs w:val="22"/>
        </w:rPr>
        <w:t xml:space="preserve">Canonical model gap analysis:</w:t>
      </w:r>
      <w:r>
        <w:rPr>
          <w:rFonts w:ascii="Arial" w:cs="Arial" w:eastAsia="Arial" w:hAnsi="Arial"/>
          <w:color w:val="0A1F2E"/>
          <w:sz w:val="22"/>
          <w:szCs w:val="22"/>
        </w:rPr>
        <w:t xml:space="preserve"> Line-item comparison of GoldenSource shipped model vs. BBH required SMF attributes.</w:t>
      </w:r>
    </w:p>
    <w:p>
      <w:pPr>
        <w:pStyle w:val="ListParagraph"/>
        <w:numPr>
          <w:ilvl w:val="0"/>
          <w:numId w:val="13"/>
        </w:numPr>
        <w:spacing w:after="60" w:before="60"/>
      </w:pPr>
      <w:r>
        <w:rPr>
          <w:rFonts w:ascii="Arial" w:cs="Arial" w:eastAsia="Arial" w:hAnsi="Arial"/>
          <w:b/>
          <w:bCs/>
          <w:color w:val="0A1F2E"/>
          <w:sz w:val="22"/>
          <w:szCs w:val="22"/>
        </w:rPr>
        <w:t xml:space="preserve">Reference architectures:</w:t>
      </w:r>
      <w:r>
        <w:rPr>
          <w:rFonts w:ascii="Arial" w:cs="Arial" w:eastAsia="Arial" w:hAnsi="Arial"/>
          <w:color w:val="0A1F2E"/>
          <w:sz w:val="22"/>
          <w:szCs w:val="22"/>
        </w:rPr>
        <w:t xml:space="preserve"> Both build and bought options at the same level of detail.</w:t>
      </w:r>
    </w:p>
    <w:p>
      <w:pPr>
        <w:pStyle w:val="ListParagraph"/>
        <w:numPr>
          <w:ilvl w:val="0"/>
          <w:numId w:val="13"/>
        </w:numPr>
        <w:spacing w:after="60" w:before="60"/>
      </w:pPr>
      <w:r>
        <w:rPr>
          <w:rFonts w:ascii="Arial" w:cs="Arial" w:eastAsia="Arial" w:hAnsi="Arial"/>
          <w:b/>
          <w:bCs/>
          <w:color w:val="0A1F2E"/>
          <w:sz w:val="22"/>
          <w:szCs w:val="22"/>
        </w:rPr>
        <w:t xml:space="preserve">5-year TCO model:</w:t>
      </w:r>
      <w:r>
        <w:rPr>
          <w:rFonts w:ascii="Arial" w:cs="Arial" w:eastAsia="Arial" w:hAnsi="Arial"/>
          <w:color w:val="0A1F2E"/>
          <w:sz w:val="22"/>
          <w:szCs w:val="22"/>
        </w:rPr>
        <w:t xml:space="preserve"> With named assumptions — license growth, FTE rates, infrastructure, vendor support escalation.</w:t>
      </w:r>
    </w:p>
    <w:p>
      <w:pPr>
        <w:pStyle w:val="ListParagraph"/>
        <w:numPr>
          <w:ilvl w:val="0"/>
          <w:numId w:val="13"/>
        </w:numPr>
        <w:spacing w:after="60" w:before="60"/>
      </w:pPr>
      <w:r>
        <w:rPr>
          <w:rFonts w:ascii="Arial" w:cs="Arial" w:eastAsia="Arial" w:hAnsi="Arial"/>
          <w:b/>
          <w:bCs/>
          <w:color w:val="0A1F2E"/>
          <w:sz w:val="22"/>
          <w:szCs w:val="22"/>
        </w:rPr>
        <w:t xml:space="preserve">Risk-adjusted decision matrix:</w:t>
      </w:r>
      <w:r>
        <w:rPr>
          <w:rFonts w:ascii="Arial" w:cs="Arial" w:eastAsia="Arial" w:hAnsi="Arial"/>
          <w:color w:val="0A1F2E"/>
          <w:sz w:val="22"/>
          <w:szCs w:val="22"/>
        </w:rPr>
        <w:t xml:space="preserve"> Scoring speed, cost, lock-in, optionality, regulatory acceptance.</w:t>
      </w:r>
    </w:p>
    <w:p>
      <w:pPr>
        <w:pStyle w:val="ListParagraph"/>
        <w:numPr>
          <w:ilvl w:val="0"/>
          <w:numId w:val="13"/>
        </w:numPr>
        <w:spacing w:after="60" w:before="60"/>
      </w:pPr>
      <w:r>
        <w:rPr>
          <w:rFonts w:ascii="Arial" w:cs="Arial" w:eastAsia="Arial" w:hAnsi="Arial"/>
          <w:b/>
          <w:bCs/>
          <w:color w:val="0A1F2E"/>
          <w:sz w:val="22"/>
          <w:szCs w:val="22"/>
        </w:rPr>
        <w:t xml:space="preserve">Working sessions:</w:t>
      </w:r>
      <w:r>
        <w:rPr>
          <w:rFonts w:ascii="Arial" w:cs="Arial" w:eastAsia="Arial" w:hAnsi="Arial"/>
          <w:color w:val="0A1F2E"/>
          <w:sz w:val="22"/>
          <w:szCs w:val="22"/>
        </w:rPr>
        <w:t xml:space="preserve"> Operating model with PB SMF / IM SMF / DQ leads; regulatory walk-through with Compliance; SEI session on loader limits and SWP scope.</w:t>
      </w:r>
    </w:p>
    <w:p>
      <w:pPr>
        <w:spacing w:after="60" w:before="60"/>
      </w:pPr>
      <w:r>
        <w:t xml:space="preserve"/>
      </w:r>
    </w:p>
    <w:p>
      <w:pPr>
        <w:spacing w:after="100" w:before="80"/>
        <w:jc w:val="left"/>
      </w:pPr>
      <w:r>
        <w:rPr>
          <w:rFonts w:ascii="Arial" w:cs="Arial" w:eastAsia="Arial" w:hAnsi="Arial"/>
          <w:b w:val="false"/>
          <w:bCs w:val="false"/>
          <w:i w:val="false"/>
          <w:iCs w:val="false"/>
          <w:color w:val="0A1F2E"/>
          <w:sz w:val="22"/>
          <w:szCs w:val="22"/>
        </w:rPr>
        <w:t xml:space="preserve">Cost of this evaluation: roughly two architect-months. Decision it informs: $30-40M, five-year, multi-domain commitment. I have detailed architecture documents and an industry-standard MDM playbook ready to share ahead of the next ARB.</w:t>
      </w:r>
    </w:p>
    <w:p>
      <w:pPr>
        <w:spacing w:after="60" w:before="60"/>
      </w:pPr>
      <w:r>
        <w:t xml:space="preserve"/>
      </w:r>
    </w:p>
    <w:p>
      <w:pPr>
        <w:spacing w:after="100" w:before="80"/>
        <w:jc w:val="left"/>
      </w:pPr>
      <w:r>
        <w:rPr>
          <w:rFonts w:ascii="Arial" w:cs="Arial" w:eastAsia="Arial" w:hAnsi="Arial"/>
          <w:b w:val="false"/>
          <w:bCs w:val="false"/>
          <w:i w:val="false"/>
          <w:iCs w:val="false"/>
          <w:color w:val="0A1F2E"/>
          <w:sz w:val="22"/>
          <w:szCs w:val="22"/>
        </w:rPr>
        <w:t xml:space="preserve">Thanks,</w:t>
      </w:r>
    </w:p>
    <w:p>
      <w:pPr>
        <w:spacing w:after="100" w:before="80"/>
        <w:jc w:val="left"/>
      </w:pPr>
      <w:r>
        <w:rPr>
          <w:rFonts w:ascii="Arial" w:cs="Arial" w:eastAsia="Arial" w:hAnsi="Arial"/>
          <w:b w:val="false"/>
          <w:bCs w:val="false"/>
          <w:i w:val="false"/>
          <w:iCs w:val="false"/>
          <w:color w:val="0A1F2E"/>
          <w:sz w:val="22"/>
          <w:szCs w:val="22"/>
        </w:rPr>
        <w:t xml:space="preserve">Aneesh</w:t>
      </w:r>
    </w:p>
    <w:p>
      <w:pPr>
        <w:pStyle w:val="Heading1"/>
        <w:pBdr>
          <w:bottom w:val="single" w:color="1F5C6B" w:sz="4" w:space="6"/>
        </w:pBdr>
        <w:spacing w:after="180" w:before="360"/>
      </w:pPr>
      <w:r>
        <w:rPr>
          <w:rFonts w:ascii="Arial" w:cs="Arial" w:eastAsia="Arial" w:hAnsi="Arial"/>
          <w:b/>
          <w:bCs/>
          <w:color w:val="0A1F2E"/>
          <w:sz w:val="32"/>
          <w:szCs w:val="32"/>
        </w:rPr>
        <w:t xml:space="preserve">Appendix B: Open Architecture Decisions (ADRs)</w:t>
      </w:r>
    </w:p>
    <w:p>
      <w:pPr>
        <w:pStyle w:val="Heading2"/>
        <w:spacing w:after="120" w:before="300"/>
      </w:pPr>
      <w:r>
        <w:rPr>
          <w:rFonts w:ascii="Arial" w:cs="Arial" w:eastAsia="Arial" w:hAnsi="Arial"/>
          <w:b/>
          <w:bCs/>
          <w:color w:val="1F5C6B"/>
          <w:sz w:val="26"/>
          <w:szCs w:val="26"/>
        </w:rPr>
        <w:t xml:space="preserve">ADRs to Be Written Before Program Commit</w:t>
      </w:r>
    </w:p>
    <w:p>
      <w:pPr>
        <w:pStyle w:val="ListParagraph"/>
        <w:numPr>
          <w:ilvl w:val="0"/>
          <w:numId w:val="14"/>
        </w:numPr>
        <w:spacing w:after="60" w:before="60"/>
      </w:pPr>
      <w:r>
        <w:rPr>
          <w:rFonts w:ascii="Arial" w:cs="Arial" w:eastAsia="Arial" w:hAnsi="Arial"/>
          <w:b/>
          <w:bCs/>
          <w:color w:val="0A1F2E"/>
          <w:sz w:val="22"/>
          <w:szCs w:val="22"/>
        </w:rPr>
        <w:t xml:space="preserve">BBH SMF interface contract is the canonical layer, not GoldenSource directly:</w:t>
      </w:r>
      <w:r>
        <w:rPr>
          <w:rFonts w:ascii="Arial" w:cs="Arial" w:eastAsia="Arial" w:hAnsi="Arial"/>
          <w:color w:val="0A1F2E"/>
          <w:sz w:val="22"/>
          <w:szCs w:val="22"/>
        </w:rPr>
        <w:t xml:space="preserve"> Consumers code against the BBH contract. Source-of-truth changes happen behind the contract.</w:t>
      </w:r>
    </w:p>
    <w:p>
      <w:pPr>
        <w:pStyle w:val="ListParagraph"/>
        <w:numPr>
          <w:ilvl w:val="0"/>
          <w:numId w:val="14"/>
        </w:numPr>
        <w:spacing w:after="60" w:before="60"/>
      </w:pPr>
      <w:r>
        <w:rPr>
          <w:rFonts w:ascii="Arial" w:cs="Arial" w:eastAsia="Arial" w:hAnsi="Arial"/>
          <w:b/>
          <w:bCs/>
          <w:color w:val="0A1F2E"/>
          <w:sz w:val="22"/>
          <w:szCs w:val="22"/>
        </w:rPr>
        <w:t xml:space="preserve">SWP scoped to accounting only:</w:t>
      </w:r>
      <w:r>
        <w:rPr>
          <w:rFonts w:ascii="Arial" w:cs="Arial" w:eastAsia="Arial" w:hAnsi="Arial"/>
          <w:color w:val="0A1F2E"/>
          <w:sz w:val="22"/>
          <w:szCs w:val="22"/>
        </w:rPr>
        <w:t xml:space="preserve"> SWP shall not master, shall not store overrides, shall not run loaders. Contractually pinned in the SEI relationship.</w:t>
      </w:r>
    </w:p>
    <w:p>
      <w:pPr>
        <w:pStyle w:val="ListParagraph"/>
        <w:numPr>
          <w:ilvl w:val="0"/>
          <w:numId w:val="14"/>
        </w:numPr>
        <w:spacing w:after="60" w:before="60"/>
      </w:pPr>
      <w:r>
        <w:rPr>
          <w:rFonts w:ascii="Arial" w:cs="Arial" w:eastAsia="Arial" w:hAnsi="Arial"/>
          <w:b/>
          <w:bCs/>
          <w:color w:val="0A1F2E"/>
          <w:sz w:val="22"/>
          <w:szCs w:val="22"/>
        </w:rPr>
        <w:t xml:space="preserve">GoldenSource customization budget:</w:t>
      </w:r>
      <w:r>
        <w:rPr>
          <w:rFonts w:ascii="Arial" w:cs="Arial" w:eastAsia="Arial" w:hAnsi="Arial"/>
          <w:color w:val="0A1F2E"/>
          <w:sz w:val="22"/>
          <w:szCs w:val="22"/>
        </w:rPr>
        <w:t xml:space="preserve"> Customization beyond N attributes / N workflows requires ARB approval. Drives discipline against vendor-painful customization.</w:t>
      </w:r>
    </w:p>
    <w:p>
      <w:pPr>
        <w:pStyle w:val="ListParagraph"/>
        <w:numPr>
          <w:ilvl w:val="0"/>
          <w:numId w:val="14"/>
        </w:numPr>
        <w:spacing w:after="60" w:before="60"/>
      </w:pPr>
      <w:r>
        <w:rPr>
          <w:rFonts w:ascii="Arial" w:cs="Arial" w:eastAsia="Arial" w:hAnsi="Arial"/>
          <w:b/>
          <w:bCs/>
          <w:color w:val="0A1F2E"/>
          <w:sz w:val="22"/>
          <w:szCs w:val="22"/>
        </w:rPr>
        <w:t xml:space="preserve">CDC platform — Kafka or Oracle GoldenGate:</w:t>
      </w:r>
      <w:r>
        <w:rPr>
          <w:rFonts w:ascii="Arial" w:cs="Arial" w:eastAsia="Arial" w:hAnsi="Arial"/>
          <w:color w:val="0A1F2E"/>
          <w:sz w:val="22"/>
          <w:szCs w:val="22"/>
        </w:rPr>
        <w:t xml:space="preserve"> Decided in Phase 0 by proof-of-concept. Both support the exactly-once pattern required.</w:t>
      </w:r>
    </w:p>
    <w:p>
      <w:pPr>
        <w:pStyle w:val="ListParagraph"/>
        <w:numPr>
          <w:ilvl w:val="0"/>
          <w:numId w:val="14"/>
        </w:numPr>
        <w:spacing w:after="60" w:before="60"/>
      </w:pPr>
      <w:r>
        <w:rPr>
          <w:rFonts w:ascii="Arial" w:cs="Arial" w:eastAsia="Arial" w:hAnsi="Arial"/>
          <w:b/>
          <w:bCs/>
          <w:color w:val="0A1F2E"/>
          <w:sz w:val="22"/>
          <w:szCs w:val="22"/>
        </w:rPr>
        <w:t xml:space="preserve">Lineage tooling — OpenLineage/Marquez initially:</w:t>
      </w:r>
      <w:r>
        <w:rPr>
          <w:rFonts w:ascii="Arial" w:cs="Arial" w:eastAsia="Arial" w:hAnsi="Arial"/>
          <w:color w:val="0A1F2E"/>
          <w:sz w:val="22"/>
          <w:szCs w:val="22"/>
        </w:rPr>
        <w:t xml:space="preserve"> DataHub revisit in Phase 3 if stewardship UI gaps emerge. OpenLineage lighter for air-gap.</w:t>
      </w:r>
    </w:p>
    <w:p>
      <w:pPr>
        <w:pStyle w:val="ListParagraph"/>
        <w:numPr>
          <w:ilvl w:val="0"/>
          <w:numId w:val="14"/>
        </w:numPr>
        <w:spacing w:after="60" w:before="60"/>
      </w:pPr>
      <w:r>
        <w:rPr>
          <w:rFonts w:ascii="Arial" w:cs="Arial" w:eastAsia="Arial" w:hAnsi="Arial"/>
          <w:b/>
          <w:bCs/>
          <w:color w:val="0A1F2E"/>
          <w:sz w:val="22"/>
          <w:szCs w:val="22"/>
        </w:rPr>
        <w:t xml:space="preserve">Reconciliation thresholds per asset class:</w:t>
      </w:r>
      <w:r>
        <w:rPr>
          <w:rFonts w:ascii="Arial" w:cs="Arial" w:eastAsia="Arial" w:hAnsi="Arial"/>
          <w:color w:val="0A1F2E"/>
          <w:sz w:val="22"/>
          <w:szCs w:val="22"/>
        </w:rPr>
        <w:t xml:space="preserve"> Defined break rates that trigger steward triage versus block cutover. Per-asset-class specificity.</w:t>
      </w:r>
    </w:p>
    <w:p>
      <w:pPr>
        <w:pStyle w:val="ListParagraph"/>
        <w:numPr>
          <w:ilvl w:val="0"/>
          <w:numId w:val="14"/>
        </w:numPr>
        <w:spacing w:after="60" w:before="60"/>
      </w:pPr>
      <w:r>
        <w:rPr>
          <w:rFonts w:ascii="Arial" w:cs="Arial" w:eastAsia="Arial" w:hAnsi="Arial"/>
          <w:b/>
          <w:bCs/>
          <w:color w:val="0A1F2E"/>
          <w:sz w:val="22"/>
          <w:szCs w:val="22"/>
        </w:rPr>
        <w:t xml:space="preserve">Decommission criteria for compatibility layer:</w:t>
      </w:r>
      <w:r>
        <w:rPr>
          <w:rFonts w:ascii="Arial" w:cs="Arial" w:eastAsia="Arial" w:hAnsi="Arial"/>
          <w:color w:val="0A1F2E"/>
          <w:sz w:val="22"/>
          <w:szCs w:val="22"/>
        </w:rPr>
        <w:t xml:space="preserve"> Per-cohort deadlines tied to budget release. Not optional.</w:t>
      </w:r>
    </w:p>
    <w:p>
      <w:pPr>
        <w:pStyle w:val="ListParagraph"/>
        <w:numPr>
          <w:ilvl w:val="0"/>
          <w:numId w:val="14"/>
        </w:numPr>
        <w:spacing w:after="60" w:before="60"/>
      </w:pPr>
      <w:r>
        <w:rPr>
          <w:rFonts w:ascii="Arial" w:cs="Arial" w:eastAsia="Arial" w:hAnsi="Arial"/>
          <w:b/>
          <w:bCs/>
          <w:color w:val="0A1F2E"/>
          <w:sz w:val="22"/>
          <w:szCs w:val="22"/>
        </w:rPr>
        <w:t xml:space="preserve">Year-2 domain expansion scope:</w:t>
      </w:r>
      <w:r>
        <w:rPr>
          <w:rFonts w:ascii="Arial" w:cs="Arial" w:eastAsia="Arial" w:hAnsi="Arial"/>
          <w:color w:val="0A1F2E"/>
          <w:sz w:val="22"/>
          <w:szCs w:val="22"/>
        </w:rPr>
        <w:t xml:space="preserve"> Counterparty/Party module activated in GoldenSource, or alternative platform considered? Decision deferred to Phase 1 exit.</w:t>
      </w:r>
    </w:p>
    <w:p>
      <w:pPr>
        <w:pStyle w:val="ListParagraph"/>
        <w:numPr>
          <w:ilvl w:val="0"/>
          <w:numId w:val="14"/>
        </w:numPr>
        <w:spacing w:after="60" w:before="60"/>
      </w:pPr>
      <w:r>
        <w:rPr>
          <w:rFonts w:ascii="Arial" w:cs="Arial" w:eastAsia="Arial" w:hAnsi="Arial"/>
          <w:b/>
          <w:bCs/>
          <w:color w:val="0A1F2E"/>
          <w:sz w:val="22"/>
          <w:szCs w:val="22"/>
        </w:rPr>
        <w:t xml:space="preserve">Contract-first or parallel launch:</w:t>
      </w:r>
      <w:r>
        <w:rPr>
          <w:rFonts w:ascii="Arial" w:cs="Arial" w:eastAsia="Arial" w:hAnsi="Arial"/>
          <w:color w:val="0A1F2E"/>
          <w:sz w:val="22"/>
          <w:szCs w:val="22"/>
        </w:rPr>
        <w:t xml:space="preserve"> If the contract-first strategy in Chapter 9 is adopted, this ADR documents the sequencing decision and the evidence criteria for the Year 2 platform decision.</w:t>
      </w:r>
    </w:p>
    <w:p>
      <w:pPr>
        <w:spacing w:after="60" w:before="60"/>
      </w:pPr>
      <w:r>
        <w:t xml:space="preserve"/>
      </w:r>
    </w:p>
    <w:p>
      <w:pPr>
        <w:pStyle w:val="Heading2"/>
        <w:spacing w:after="120" w:before="300"/>
      </w:pPr>
      <w:r>
        <w:rPr>
          <w:rFonts w:ascii="Arial" w:cs="Arial" w:eastAsia="Arial" w:hAnsi="Arial"/>
          <w:b/>
          <w:bCs/>
          <w:color w:val="1F5C6B"/>
          <w:sz w:val="26"/>
          <w:szCs w:val="26"/>
        </w:rPr>
        <w:t xml:space="preserve">Investigation Items from the SMF Strategy Deck</w:t>
      </w:r>
    </w:p>
    <w:p>
      <w:pPr>
        <w:pStyle w:val="ListParagraph"/>
        <w:numPr>
          <w:ilvl w:val="0"/>
          <w:numId w:val="15"/>
        </w:numPr>
        <w:spacing w:after="60" w:before="60"/>
      </w:pPr>
      <w:r>
        <w:rPr>
          <w:rFonts w:ascii="Arial" w:cs="Arial" w:eastAsia="Arial" w:hAnsi="Arial"/>
          <w:b/>
          <w:bCs/>
          <w:color w:val="0A1F2E"/>
          <w:sz w:val="22"/>
          <w:szCs w:val="22"/>
        </w:rPr>
        <w:t xml:space="preserve">SWP loader limits (Investigation #1):</w:t>
      </w:r>
      <w:r>
        <w:rPr>
          <w:rFonts w:ascii="Arial" w:cs="Arial" w:eastAsia="Arial" w:hAnsi="Arial"/>
          <w:color w:val="0A1F2E"/>
          <w:sz w:val="22"/>
          <w:szCs w:val="22"/>
        </w:rPr>
        <w:t xml:space="preserve"> SWP has stated they can support client SMF data for securities which their market data sources do not cover via a file called asset_data.xls. Is there a limit to how many rows this loader can support if we push ALL securities through it? Is there a limit to how many columns? Get numeric SLA from SEI in writing before any architecture commit.</w:t>
      </w:r>
    </w:p>
    <w:p>
      <w:pPr>
        <w:pStyle w:val="ListParagraph"/>
        <w:numPr>
          <w:ilvl w:val="0"/>
          <w:numId w:val="15"/>
        </w:numPr>
        <w:spacing w:after="60" w:before="60"/>
      </w:pPr>
      <w:r>
        <w:rPr>
          <w:rFonts w:ascii="Arial" w:cs="Arial" w:eastAsia="Arial" w:hAnsi="Arial"/>
          <w:b/>
          <w:bCs/>
          <w:color w:val="0A1F2E"/>
          <w:sz w:val="22"/>
          <w:szCs w:val="22"/>
        </w:rPr>
        <w:t xml:space="preserve">UAF same pattern (Investigation #2):</w:t>
      </w:r>
      <w:r>
        <w:rPr>
          <w:rFonts w:ascii="Arial" w:cs="Arial" w:eastAsia="Arial" w:hAnsi="Arial"/>
          <w:color w:val="0A1F2E"/>
          <w:sz w:val="22"/>
          <w:szCs w:val="22"/>
        </w:rPr>
        <w:t xml:space="preserve"> Whichever option we pick for SMF data, can Unified Account File (UAF) use the same solution pattern? Answer is probably yes for the architecture, but different override semantics apply — UAF data is client-sourced, not vendor-sourced, so precedence rules invert.</w:t>
      </w:r>
    </w:p>
    <w:p>
      <w:pPr>
        <w:pStyle w:val="ListParagraph"/>
        <w:numPr>
          <w:ilvl w:val="0"/>
          <w:numId w:val="15"/>
        </w:numPr>
        <w:spacing w:after="60" w:before="60"/>
      </w:pPr>
      <w:r>
        <w:rPr>
          <w:rFonts w:ascii="Arial" w:cs="Arial" w:eastAsia="Arial" w:hAnsi="Arial"/>
          <w:b/>
          <w:bCs/>
          <w:color w:val="0A1F2E"/>
          <w:sz w:val="22"/>
          <w:szCs w:val="22"/>
        </w:rPr>
        <w:t xml:space="preserve">IT t-shirt sizes (Investigation #3):</w:t>
      </w:r>
      <w:r>
        <w:rPr>
          <w:rFonts w:ascii="Arial" w:cs="Arial" w:eastAsia="Arial" w:hAnsi="Arial"/>
          <w:color w:val="0A1F2E"/>
          <w:sz w:val="22"/>
          <w:szCs w:val="22"/>
        </w:rPr>
        <w:t xml:space="preserve"> What are the IT t-shirt sizes on timeline impacts for strategic and semi-strategic, respectively? Must include parallel-run cost, not just build cost. Strategic might be a Large build but a Small run; semi-strategic might be a Medium build but a Large run forever.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6B" w:sz="2" w:space="4"/>
      </w:pBdr>
      <w:spacing w:before="80"/>
      <w:jc w:val="center"/>
    </w:pPr>
    <w:r>
      <w:rPr>
        <w:rFonts w:ascii="Arial" w:cs="Arial" w:eastAsia="Arial" w:hAnsi="Arial"/>
        <w:color w:val="5E5A52"/>
        <w:sz w:val="16"/>
        <w:szCs w:val="16"/>
      </w:rPr>
      <w:t xml:space="preserve">SWP Migration Program  |  BBH Capital Partners Technology  |  Confidential &amp; Proprietary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6B" w:sz="2" w:space="4"/>
      </w:pBdr>
      <w:spacing w:after="80"/>
    </w:pPr>
    <w:r>
      <w:rPr>
        <w:rFonts w:ascii="Arial" w:cs="Arial" w:eastAsia="Arial" w:hAnsi="Arial"/>
        <w:color w:val="1F5C6B"/>
        <w:sz w:val="16"/>
        <w:szCs w:val="16"/>
      </w:rPr>
      <w:t xml:space="preserve">BBH Capital Partners Technology  |  SMF Data Strategy &amp; MDM Architecture</w:t>
    </w:r>
    <w:r>
      <w:rPr>
        <w:rFonts w:ascii="Arial" w:cs="Arial" w:eastAsia="Arial" w:hAnsi="Arial"/>
        <w:b/>
        <w:bCs/>
        <w:color w:val="5E5A52"/>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1F2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F5C6B"/>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0A1F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2026-05-04T13:10:43.754Z</dcterms:created>
  <dcterms:modified xsi:type="dcterms:W3CDTF">2026-05-04T13:10:43.754Z</dcterms:modified>
</cp:coreProperties>
</file>

<file path=docProps/custom.xml><?xml version="1.0" encoding="utf-8"?>
<Properties xmlns="http://schemas.openxmlformats.org/officeDocument/2006/custom-properties" xmlns:vt="http://schemas.openxmlformats.org/officeDocument/2006/docPropsVTypes"/>
</file>