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02D22" w14:textId="77777777" w:rsidR="00B12B98" w:rsidRDefault="00B12B98">
      <w:pPr>
        <w:spacing w:before="120"/>
      </w:pPr>
    </w:p>
    <w:p w14:paraId="4B6028F3" w14:textId="77777777" w:rsidR="00B12B98" w:rsidRDefault="00ED49BD">
      <w:pPr>
        <w:spacing w:after="60"/>
      </w:pPr>
      <w:r>
        <w:rPr>
          <w:b/>
          <w:bCs/>
          <w:color w:val="1F4E79"/>
          <w:sz w:val="40"/>
          <w:szCs w:val="40"/>
        </w:rPr>
        <w:t>Asset Schema Management with Golden Source &amp; SEI SWP</w:t>
      </w:r>
    </w:p>
    <w:p w14:paraId="430FC393" w14:textId="77777777" w:rsidR="00B12B98" w:rsidRDefault="00ED49BD">
      <w:pPr>
        <w:spacing w:after="60"/>
      </w:pPr>
      <w:r>
        <w:rPr>
          <w:color w:val="2E75B6"/>
          <w:sz w:val="26"/>
          <w:szCs w:val="26"/>
        </w:rPr>
        <w:t>Architectural Decision Talking Points</w:t>
      </w:r>
    </w:p>
    <w:p w14:paraId="4ECEBB50" w14:textId="77777777" w:rsidR="00B12B98" w:rsidRDefault="00ED49BD">
      <w:pPr>
        <w:spacing w:after="200"/>
      </w:pPr>
      <w:r>
        <w:rPr>
          <w:i/>
          <w:iCs/>
          <w:color w:val="595959"/>
        </w:rPr>
        <w:t>Pre-engagement alignment guide — BBH data architecture team</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2B98" w14:paraId="2A7A1D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6BF4CEE4" w14:textId="77777777" w:rsidR="00B12B98" w:rsidRDefault="00ED49BD">
            <w:r>
              <w:rPr>
                <w:b/>
                <w:bCs/>
                <w:color w:val="1F4E79"/>
                <w:sz w:val="22"/>
                <w:szCs w:val="22"/>
              </w:rPr>
              <w:t>Purpose of This Document</w:t>
            </w:r>
          </w:p>
          <w:p w14:paraId="29B1F113" w14:textId="77777777" w:rsidR="00B12B98" w:rsidRDefault="00ED49BD">
            <w:pPr>
              <w:spacing w:before="60"/>
            </w:pPr>
            <w:r>
              <w:rPr>
                <w:color w:val="595959"/>
              </w:rPr>
              <w:t>This document frames the critical decisions that must be made before designing the integration between BBH’s Golden Source MDM and SEI’s Strategic Wealth Platform (SWP) for SMA asset schema management. Each section presents the core tension, the talking points to drive the discussion, and the explicit decision that must be recorded.</w:t>
            </w:r>
          </w:p>
        </w:tc>
      </w:tr>
    </w:tbl>
    <w:p w14:paraId="29BC2972" w14:textId="77777777" w:rsidR="00B12B98" w:rsidRDefault="00B12B98">
      <w:pPr>
        <w:spacing w:before="200"/>
      </w:pPr>
    </w:p>
    <w:p w14:paraId="328EC591" w14:textId="77777777" w:rsidR="00B12B98" w:rsidRDefault="00ED49BD">
      <w:pPr>
        <w:pStyle w:val="Heading1"/>
        <w:pBdr>
          <w:bottom w:val="single" w:sz="8" w:space="4" w:color="2E75B6"/>
        </w:pBdr>
      </w:pPr>
      <w:r>
        <w:t>Decision 1: Identifier Authority &amp; Key Ownership</w:t>
      </w:r>
    </w:p>
    <w:p w14:paraId="2A3E2CA2" w14:textId="77777777" w:rsidR="00B12B98" w:rsidRDefault="00ED49BD">
      <w:pPr>
        <w:spacing w:before="80" w:after="100"/>
      </w:pPr>
      <w:r>
        <w:rPr>
          <w:i/>
          <w:iCs/>
          <w:color w:val="595959"/>
        </w:rPr>
        <w:t>The single most consequential decision. Everything downstream — feed design, reconciliation, and lineage — depends on getting this right.</w:t>
      </w:r>
    </w:p>
    <w:p w14:paraId="2E431E57" w14:textId="77777777" w:rsidR="00B12B98" w:rsidRDefault="00B12B98">
      <w:pPr>
        <w:spacing w:before="80"/>
      </w:pPr>
    </w:p>
    <w:p w14:paraId="5FEFC120" w14:textId="77777777" w:rsidR="00B12B98" w:rsidRDefault="00ED49BD">
      <w:pPr>
        <w:pStyle w:val="Heading2"/>
      </w:pPr>
      <w:r>
        <w:t>The Core Tension</w:t>
      </w:r>
    </w:p>
    <w:p w14:paraId="0BD0DA72" w14:textId="77777777" w:rsidR="00B12B98" w:rsidRDefault="00ED49BD">
      <w:pPr>
        <w:spacing w:before="60" w:after="60"/>
      </w:pPr>
      <w:r>
        <w:rPr>
          <w:color w:val="595959"/>
        </w:rPr>
        <w:t>SEI SWP has its own internal asset identifier. BBH has its own. Both systems need a security to exist within them to function. The question is: which identifier is the primary key of record, and which is the cross-reference?</w:t>
      </w:r>
    </w:p>
    <w:p w14:paraId="6658F784" w14:textId="77777777" w:rsidR="00B12B98" w:rsidRDefault="00B12B98">
      <w:pPr>
        <w:spacing w:before="80"/>
      </w:pPr>
    </w:p>
    <w:p w14:paraId="7E1C7451" w14:textId="77777777" w:rsidR="00B12B98" w:rsidRDefault="00ED49BD">
      <w:pPr>
        <w:pStyle w:val="Heading2"/>
      </w:pPr>
      <w:r>
        <w:t>Talking Points</w:t>
      </w:r>
    </w:p>
    <w:p w14:paraId="24A740D0" w14:textId="77777777" w:rsidR="00B12B98" w:rsidRDefault="00ED49BD">
      <w:pPr>
        <w:pStyle w:val="ListParagraph"/>
        <w:numPr>
          <w:ilvl w:val="0"/>
          <w:numId w:val="2"/>
        </w:numPr>
        <w:spacing w:before="40" w:after="40"/>
      </w:pPr>
      <w:r>
        <w:rPr>
          <w:b/>
          <w:bCs/>
          <w:color w:val="1F4E79"/>
        </w:rPr>
        <w:t xml:space="preserve">Establish clearly: </w:t>
      </w:r>
      <w:r>
        <w:rPr>
          <w:color w:val="595959"/>
        </w:rPr>
        <w:t>BBH must mint the primary asset identifier. SEI’s internal ID is a foreign key to BBH’s master — not the other way around.</w:t>
      </w:r>
    </w:p>
    <w:p w14:paraId="3F6E28EE" w14:textId="77777777" w:rsidR="00B12B98" w:rsidRDefault="00ED49BD">
      <w:pPr>
        <w:pStyle w:val="ListParagraph"/>
        <w:numPr>
          <w:ilvl w:val="0"/>
          <w:numId w:val="2"/>
        </w:numPr>
        <w:spacing w:before="40" w:after="40"/>
      </w:pPr>
      <w:r>
        <w:rPr>
          <w:color w:val="595959"/>
        </w:rPr>
        <w:t>A cross-reference (XREF) table owned by BBH must map BBH Asset ID ↔ SEI Asset ID ↔ CUSIP/ISIN/SEDOL ↔ Bloomberg FIGI ↔ downstream consumer keys.</w:t>
      </w:r>
    </w:p>
    <w:p w14:paraId="0025033D" w14:textId="77777777" w:rsidR="00B12B98" w:rsidRDefault="00ED49BD">
      <w:pPr>
        <w:pStyle w:val="ListParagraph"/>
        <w:numPr>
          <w:ilvl w:val="0"/>
          <w:numId w:val="2"/>
        </w:numPr>
        <w:spacing w:before="40" w:after="40"/>
      </w:pPr>
      <w:r>
        <w:rPr>
          <w:color w:val="595959"/>
        </w:rPr>
        <w:t>SEI must never auto-create assets outside a workflow originating from BBH Golden Source. Uncontrolled creation in SEI produces orphaned securities with no BBH lineage.</w:t>
      </w:r>
    </w:p>
    <w:p w14:paraId="26F9E74B" w14:textId="77777777" w:rsidR="00B12B98" w:rsidRDefault="00ED49BD">
      <w:pPr>
        <w:pStyle w:val="ListParagraph"/>
        <w:numPr>
          <w:ilvl w:val="0"/>
          <w:numId w:val="2"/>
        </w:numPr>
        <w:spacing w:before="40" w:after="40"/>
      </w:pPr>
      <w:r>
        <w:rPr>
          <w:color w:val="595959"/>
        </w:rPr>
        <w:t>Define the asset inception event: does a new security entry into BBH first via a vendor feed, a trader workflow, or does it arrive from SEI? This determines the create workflow design.</w:t>
      </w:r>
    </w:p>
    <w:p w14:paraId="5C2B0190" w14:textId="77777777" w:rsidR="00B12B98" w:rsidRDefault="00ED49BD">
      <w:pPr>
        <w:pStyle w:val="ListParagraph"/>
        <w:numPr>
          <w:ilvl w:val="0"/>
          <w:numId w:val="2"/>
        </w:numPr>
        <w:spacing w:before="40" w:after="40"/>
      </w:pPr>
      <w:r>
        <w:rPr>
          <w:color w:val="595959"/>
        </w:rPr>
        <w:t>The XREF registry should live in BBH’s MDM or a dedicated Identity Resolution layer — not in PBWH or SEI.</w:t>
      </w:r>
    </w:p>
    <w:p w14:paraId="78E7C6F4" w14:textId="77777777" w:rsidR="00B12B98" w:rsidRDefault="00B12B98">
      <w:pPr>
        <w:spacing w:before="80"/>
      </w:pPr>
    </w:p>
    <w:p w14:paraId="6EC87014" w14:textId="77777777" w:rsidR="00B12B98" w:rsidRDefault="00ED49BD">
      <w:pPr>
        <w:pStyle w:val="Heading2"/>
      </w:pPr>
      <w:r>
        <w:t>Decision to Record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B12B98" w14:paraId="45819DB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20" w:type="dxa"/>
              <w:bottom w:w="100" w:type="dxa"/>
              <w:right w:w="120" w:type="dxa"/>
            </w:tcMar>
            <w:vAlign w:val="center"/>
          </w:tcPr>
          <w:p w14:paraId="1A80AF9F" w14:textId="77777777" w:rsidR="00B12B98" w:rsidRDefault="00ED49BD">
            <w:pPr>
              <w:jc w:val="center"/>
            </w:pPr>
            <w:r>
              <w:rPr>
                <w:b/>
                <w:bCs/>
                <w:color w:val="FFFFFF"/>
                <w:sz w:val="18"/>
                <w:szCs w:val="18"/>
              </w:rPr>
              <w:t>DECIDE</w:t>
            </w:r>
          </w:p>
        </w:tc>
        <w:tc>
          <w:tcPr>
            <w:tcW w:w="7760" w:type="dxa"/>
            <w:tcBorders>
              <w:top w:val="single" w:sz="1" w:space="0" w:color="CCCCCC"/>
              <w:left w:val="single" w:sz="1" w:space="0" w:color="CCCCCC"/>
              <w:bottom w:val="single" w:sz="1" w:space="0" w:color="CCCCCC"/>
              <w:right w:val="single" w:sz="1" w:space="0" w:color="CCCCCC"/>
            </w:tcBorders>
            <w:shd w:val="clear" w:color="auto" w:fill="FBE5D6"/>
            <w:tcMar>
              <w:top w:w="100" w:type="dxa"/>
              <w:left w:w="160" w:type="dxa"/>
              <w:bottom w:w="100" w:type="dxa"/>
              <w:right w:w="120" w:type="dxa"/>
            </w:tcMar>
          </w:tcPr>
          <w:p w14:paraId="55DE2015" w14:textId="77777777" w:rsidR="00B12B98" w:rsidRDefault="00ED49BD">
            <w:r>
              <w:rPr>
                <w:b/>
                <w:bCs/>
                <w:color w:val="7B2C00"/>
              </w:rPr>
              <w:t>Where does the XREF registry live, who maintains it, and what is the SLA for a new BBH Asset ID being available to SEI after creation?</w:t>
            </w:r>
          </w:p>
        </w:tc>
      </w:tr>
    </w:tbl>
    <w:p w14:paraId="188D733E" w14:textId="77777777" w:rsidR="00B12B98" w:rsidRDefault="00B12B98">
      <w:pPr>
        <w:spacing w:before="200"/>
      </w:pPr>
    </w:p>
    <w:p w14:paraId="058AD69C" w14:textId="77777777" w:rsidR="00B12B98" w:rsidRDefault="00ED49BD">
      <w:pPr>
        <w:pStyle w:val="Heading1"/>
        <w:pBdr>
          <w:bottom w:val="single" w:sz="8" w:space="4" w:color="2E75B6"/>
        </w:pBdr>
      </w:pPr>
      <w:r>
        <w:t>Decision 2: Attribute Ownership Matrix</w:t>
      </w:r>
    </w:p>
    <w:p w14:paraId="3A57E448" w14:textId="77777777" w:rsidR="00B12B98" w:rsidRDefault="00ED49BD">
      <w:pPr>
        <w:spacing w:before="80" w:after="100"/>
      </w:pPr>
      <w:r>
        <w:rPr>
          <w:i/>
          <w:iCs/>
          <w:color w:val="595959"/>
        </w:rPr>
        <w:t>Not all asset attributes have the same owner. Trying to treat them uniformly creates governance failures. An explicit ownership matrix must be agreed before feed design begins.</w:t>
      </w:r>
    </w:p>
    <w:p w14:paraId="58DD6E2E" w14:textId="77777777" w:rsidR="00B12B98" w:rsidRDefault="00B12B98">
      <w:pPr>
        <w:spacing w:before="80"/>
      </w:pPr>
    </w:p>
    <w:p w14:paraId="41D8B440" w14:textId="77777777" w:rsidR="00B12B98" w:rsidRDefault="00ED49BD">
      <w:pPr>
        <w:pStyle w:val="Heading2"/>
      </w:pPr>
      <w:r>
        <w:t>The Core Tension</w:t>
      </w:r>
    </w:p>
    <w:p w14:paraId="3187D76A" w14:textId="77777777" w:rsidR="00B12B98" w:rsidRDefault="00ED49BD">
      <w:pPr>
        <w:spacing w:before="60" w:after="60"/>
      </w:pPr>
      <w:r>
        <w:rPr>
          <w:color w:val="595959"/>
        </w:rPr>
        <w:t>BBH owns the golden attributes (legal name, identifiers, asset class). SEI owns operational processing attributes (accrual method, income treatment flags). Some attributes are genuinely shared or negotiated. Without explicit ownership, SEI ops users will edit BBH-owned fields directly in the SWP UI, creating silent data corruption.</w:t>
      </w:r>
    </w:p>
    <w:p w14:paraId="435FC105" w14:textId="77777777" w:rsidR="00B12B98" w:rsidRDefault="00B12B98">
      <w:pPr>
        <w:spacing w:before="80"/>
      </w:pPr>
    </w:p>
    <w:p w14:paraId="4B7CA98B" w14:textId="77777777" w:rsidR="00B12B98" w:rsidRDefault="00ED49BD">
      <w:pPr>
        <w:pStyle w:val="Heading2"/>
      </w:pPr>
      <w:r>
        <w:t>Draft Ownership Matrix for Discussion</w:t>
      </w:r>
    </w:p>
    <w:p w14:paraId="08811357" w14:textId="77777777" w:rsidR="00B12B98" w:rsidRDefault="00B12B98">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B12B98" w14:paraId="263CB1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CF9BEA" w14:textId="77777777" w:rsidR="00B12B98" w:rsidRDefault="00ED49BD">
            <w:r>
              <w:rPr>
                <w:b/>
                <w:bCs/>
                <w:color w:val="FFFFFF"/>
                <w:sz w:val="19"/>
                <w:szCs w:val="19"/>
              </w:rPr>
              <w:t>Attribute Domain</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9D3965" w14:textId="77777777" w:rsidR="00B12B98" w:rsidRDefault="00ED49BD">
            <w:r>
              <w:rPr>
                <w:b/>
                <w:bCs/>
                <w:color w:val="FFFFFF"/>
                <w:sz w:val="19"/>
                <w:szCs w:val="19"/>
              </w:rPr>
              <w:t>Owner</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AFCC47" w14:textId="77777777" w:rsidR="00B12B98" w:rsidRDefault="00ED49BD">
            <w:r>
              <w:rPr>
                <w:b/>
                <w:bCs/>
                <w:color w:val="FFFFFF"/>
                <w:sz w:val="19"/>
                <w:szCs w:val="19"/>
              </w:rPr>
              <w:t>SEI Receives Via</w:t>
            </w:r>
          </w:p>
        </w:tc>
      </w:tr>
      <w:tr w:rsidR="00B12B98" w14:paraId="526E89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203A0" w14:textId="77777777" w:rsidR="00B12B98" w:rsidRDefault="00ED49BD">
            <w:r>
              <w:rPr>
                <w:color w:val="595959"/>
                <w:sz w:val="19"/>
                <w:szCs w:val="19"/>
              </w:rPr>
              <w:t>Legal name, CUSIP, ISIN, SEDOL</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1CBA4" w14:textId="77777777" w:rsidR="00B12B98" w:rsidRDefault="00ED49BD">
            <w:r>
              <w:rPr>
                <w:color w:val="595959"/>
                <w:sz w:val="19"/>
                <w:szCs w:val="19"/>
              </w:rPr>
              <w:t>BBH Golden Source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7E4D76" w14:textId="77777777" w:rsidR="00B12B98" w:rsidRDefault="00ED49BD">
            <w:r>
              <w:rPr>
                <w:color w:val="595959"/>
                <w:sz w:val="19"/>
                <w:szCs w:val="19"/>
              </w:rPr>
              <w:t>Outbound controlled feed</w:t>
            </w:r>
          </w:p>
        </w:tc>
      </w:tr>
      <w:tr w:rsidR="00B12B98" w14:paraId="757158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C81C0" w14:textId="77777777" w:rsidR="00B12B98" w:rsidRDefault="00ED49BD">
            <w:r>
              <w:rPr>
                <w:color w:val="595959"/>
                <w:sz w:val="19"/>
                <w:szCs w:val="19"/>
              </w:rPr>
              <w:t>Asset class / sub-asset class hierarchy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A8E46" w14:textId="77777777" w:rsidR="00B12B98" w:rsidRDefault="00ED49BD">
            <w:r>
              <w:rPr>
                <w:color w:val="595959"/>
                <w:sz w:val="19"/>
                <w:szCs w:val="19"/>
              </w:rPr>
              <w:t>BBH (</w:t>
            </w:r>
            <w:proofErr w:type="spellStart"/>
            <w:r>
              <w:rPr>
                <w:color w:val="595959"/>
                <w:sz w:val="19"/>
                <w:szCs w:val="19"/>
              </w:rPr>
              <w:t>dbt</w:t>
            </w:r>
            <w:proofErr w:type="spellEnd"/>
            <w:r>
              <w:rPr>
                <w:color w:val="595959"/>
                <w:sz w:val="19"/>
                <w:szCs w:val="19"/>
              </w:rPr>
              <w:t xml:space="preserve"> crosswalk)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0E014" w14:textId="77777777" w:rsidR="00B12B98" w:rsidRDefault="00ED49BD">
            <w:r>
              <w:rPr>
                <w:color w:val="595959"/>
                <w:sz w:val="19"/>
                <w:szCs w:val="19"/>
              </w:rPr>
              <w:t>Outbound feed</w:t>
            </w:r>
          </w:p>
        </w:tc>
      </w:tr>
      <w:tr w:rsidR="00B12B98" w14:paraId="1024B4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5CFC4C" w14:textId="77777777" w:rsidR="00B12B98" w:rsidRDefault="00ED49BD">
            <w:r>
              <w:rPr>
                <w:color w:val="595959"/>
                <w:sz w:val="19"/>
                <w:szCs w:val="19"/>
              </w:rPr>
              <w:t>Pricing source, valuation method</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7A256" w14:textId="77777777" w:rsidR="00B12B98" w:rsidRDefault="00ED49BD">
            <w:r>
              <w:rPr>
                <w:color w:val="595959"/>
                <w:sz w:val="19"/>
                <w:szCs w:val="19"/>
              </w:rPr>
              <w:t>BBH or negotiated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B95F5" w14:textId="77777777" w:rsidR="00B12B98" w:rsidRDefault="00ED49BD">
            <w:r>
              <w:rPr>
                <w:color w:val="595959"/>
                <w:sz w:val="19"/>
                <w:szCs w:val="19"/>
              </w:rPr>
              <w:t>Feed or API</w:t>
            </w:r>
          </w:p>
        </w:tc>
      </w:tr>
      <w:tr w:rsidR="00B12B98" w14:paraId="4CF533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37900" w14:textId="77777777" w:rsidR="00B12B98" w:rsidRDefault="00ED49BD">
            <w:r>
              <w:rPr>
                <w:color w:val="595959"/>
                <w:sz w:val="19"/>
                <w:szCs w:val="19"/>
              </w:rPr>
              <w:t>SMA mandate / sleeve mapping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5E3F8" w14:textId="77777777" w:rsidR="00B12B98" w:rsidRDefault="00ED49BD">
            <w:r>
              <w:rPr>
                <w:color w:val="595959"/>
                <w:sz w:val="19"/>
                <w:szCs w:val="19"/>
              </w:rPr>
              <w:t>BBH (client-driven)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77B61" w14:textId="77777777" w:rsidR="00B12B98" w:rsidRDefault="00ED49BD">
            <w:r>
              <w:rPr>
                <w:color w:val="595959"/>
                <w:sz w:val="19"/>
                <w:szCs w:val="19"/>
              </w:rPr>
              <w:t>Controlled feed</w:t>
            </w:r>
          </w:p>
        </w:tc>
      </w:tr>
      <w:tr w:rsidR="00B12B98" w14:paraId="5B47D9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E00DE" w14:textId="77777777" w:rsidR="00B12B98" w:rsidRDefault="00ED49BD">
            <w:r>
              <w:rPr>
                <w:color w:val="595959"/>
                <w:sz w:val="19"/>
                <w:szCs w:val="19"/>
              </w:rPr>
              <w:t>Settlement instructions, custodian</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43B7B" w14:textId="77777777" w:rsidR="00B12B98" w:rsidRDefault="00ED49BD">
            <w:r>
              <w:rPr>
                <w:color w:val="595959"/>
                <w:sz w:val="19"/>
                <w:szCs w:val="19"/>
              </w:rPr>
              <w:t>BBH</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AE108" w14:textId="77777777" w:rsidR="00B12B98" w:rsidRDefault="00ED49BD">
            <w:r>
              <w:rPr>
                <w:color w:val="595959"/>
                <w:sz w:val="19"/>
                <w:szCs w:val="19"/>
              </w:rPr>
              <w:t>Feed</w:t>
            </w:r>
          </w:p>
        </w:tc>
      </w:tr>
      <w:tr w:rsidR="00B12B98" w14:paraId="153C35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A9A75" w14:textId="77777777" w:rsidR="00B12B98" w:rsidRDefault="00ED49BD">
            <w:r>
              <w:rPr>
                <w:color w:val="595959"/>
                <w:sz w:val="19"/>
                <w:szCs w:val="19"/>
              </w:rPr>
              <w:t>SEI processing flags (accrual, income)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45B4F" w14:textId="77777777" w:rsidR="00B12B98" w:rsidRDefault="00ED49BD">
            <w:r>
              <w:rPr>
                <w:color w:val="595959"/>
                <w:sz w:val="19"/>
                <w:szCs w:val="19"/>
              </w:rPr>
              <w:t>SEI owns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FD99E" w14:textId="77777777" w:rsidR="00B12B98" w:rsidRDefault="00ED49BD">
            <w:r>
              <w:rPr>
                <w:color w:val="595959"/>
                <w:sz w:val="19"/>
                <w:szCs w:val="19"/>
              </w:rPr>
              <w:t>SEI internal only</w:t>
            </w:r>
          </w:p>
        </w:tc>
      </w:tr>
      <w:tr w:rsidR="00B12B98" w14:paraId="5C296A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BA40C" w14:textId="77777777" w:rsidR="00B12B98" w:rsidRDefault="00ED49BD">
            <w:r>
              <w:rPr>
                <w:color w:val="595959"/>
                <w:sz w:val="19"/>
                <w:szCs w:val="19"/>
              </w:rPr>
              <w:t>Performance benchmark assignment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0139C1" w14:textId="77777777" w:rsidR="00B12B98" w:rsidRDefault="00ED49BD">
            <w:r>
              <w:rPr>
                <w:color w:val="595959"/>
                <w:sz w:val="19"/>
                <w:szCs w:val="19"/>
              </w:rPr>
              <w:t>Negotiated — likely SEI operational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148FA" w14:textId="77777777" w:rsidR="00B12B98" w:rsidRDefault="00ED49BD">
            <w:r>
              <w:rPr>
                <w:color w:val="595959"/>
                <w:sz w:val="19"/>
                <w:szCs w:val="19"/>
              </w:rPr>
              <w:t>Controlled feed or SEI UI</w:t>
            </w:r>
          </w:p>
        </w:tc>
      </w:tr>
    </w:tbl>
    <w:p w14:paraId="3BEA5561" w14:textId="77777777" w:rsidR="00B12B98" w:rsidRDefault="00B12B98">
      <w:pPr>
        <w:spacing w:before="100"/>
      </w:pPr>
    </w:p>
    <w:p w14:paraId="27DA4B1F" w14:textId="77777777" w:rsidR="00B12B98" w:rsidRDefault="00ED49BD">
      <w:pPr>
        <w:pStyle w:val="Heading2"/>
      </w:pPr>
      <w:r>
        <w:t>Talking Points</w:t>
      </w:r>
    </w:p>
    <w:p w14:paraId="7C80B8C7" w14:textId="77777777" w:rsidR="00B12B98" w:rsidRDefault="00ED49BD">
      <w:pPr>
        <w:pStyle w:val="ListParagraph"/>
        <w:numPr>
          <w:ilvl w:val="0"/>
          <w:numId w:val="2"/>
        </w:numPr>
        <w:spacing w:before="40" w:after="40"/>
      </w:pPr>
      <w:r>
        <w:rPr>
          <w:color w:val="595959"/>
        </w:rPr>
        <w:t>Walk through the matrix row by row with both BBH and SEI teams. Any “negotiated” row must be resolved to a single owner before integration design.</w:t>
      </w:r>
    </w:p>
    <w:p w14:paraId="713DA64C" w14:textId="77777777" w:rsidR="00B12B98" w:rsidRDefault="00ED49BD">
      <w:pPr>
        <w:pStyle w:val="ListParagraph"/>
        <w:numPr>
          <w:ilvl w:val="0"/>
          <w:numId w:val="2"/>
        </w:numPr>
        <w:spacing w:before="40" w:after="40"/>
      </w:pPr>
      <w:r>
        <w:rPr>
          <w:color w:val="595959"/>
        </w:rPr>
        <w:t>For any attribute BBH owns: confirm whether SEI’s SWP UI allows editing of that field by SEI ops users. If yes, BBH must either negotiate a UI lock with SEI or establish daily override detection.</w:t>
      </w:r>
    </w:p>
    <w:p w14:paraId="6521A320" w14:textId="77777777" w:rsidR="00B12B98" w:rsidRDefault="00ED49BD">
      <w:pPr>
        <w:pStyle w:val="ListParagraph"/>
        <w:numPr>
          <w:ilvl w:val="0"/>
          <w:numId w:val="2"/>
        </w:numPr>
        <w:spacing w:before="40" w:after="40"/>
      </w:pPr>
      <w:r>
        <w:rPr>
          <w:color w:val="595959"/>
        </w:rPr>
        <w:t>SEI schema changes — particularly to code tables and enumerations — must go through a BBH integration impact review before deployment. Establish a change notification SLA with SEI.</w:t>
      </w:r>
    </w:p>
    <w:p w14:paraId="567BE3A8" w14:textId="77777777" w:rsidR="00B12B98" w:rsidRDefault="00B12B98">
      <w:pPr>
        <w:spacing w:before="80"/>
      </w:pPr>
    </w:p>
    <w:p w14:paraId="69D9867C" w14:textId="77777777" w:rsidR="00B12B98" w:rsidRDefault="00ED49BD">
      <w:pPr>
        <w:pStyle w:val="Heading2"/>
      </w:pPr>
      <w:r>
        <w:t>Decision to Record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B12B98" w14:paraId="7FD7F0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20" w:type="dxa"/>
              <w:bottom w:w="100" w:type="dxa"/>
              <w:right w:w="120" w:type="dxa"/>
            </w:tcMar>
            <w:vAlign w:val="center"/>
          </w:tcPr>
          <w:p w14:paraId="590936CF" w14:textId="77777777" w:rsidR="00B12B98" w:rsidRDefault="00ED49BD">
            <w:pPr>
              <w:jc w:val="center"/>
            </w:pPr>
            <w:r>
              <w:rPr>
                <w:b/>
                <w:bCs/>
                <w:color w:val="FFFFFF"/>
                <w:sz w:val="18"/>
                <w:szCs w:val="18"/>
              </w:rPr>
              <w:t>DECIDE</w:t>
            </w:r>
          </w:p>
        </w:tc>
        <w:tc>
          <w:tcPr>
            <w:tcW w:w="7760" w:type="dxa"/>
            <w:tcBorders>
              <w:top w:val="single" w:sz="1" w:space="0" w:color="CCCCCC"/>
              <w:left w:val="single" w:sz="1" w:space="0" w:color="CCCCCC"/>
              <w:bottom w:val="single" w:sz="1" w:space="0" w:color="CCCCCC"/>
              <w:right w:val="single" w:sz="1" w:space="0" w:color="CCCCCC"/>
            </w:tcBorders>
            <w:shd w:val="clear" w:color="auto" w:fill="FBE5D6"/>
            <w:tcMar>
              <w:top w:w="100" w:type="dxa"/>
              <w:left w:w="160" w:type="dxa"/>
              <w:bottom w:w="100" w:type="dxa"/>
              <w:right w:w="120" w:type="dxa"/>
            </w:tcMar>
          </w:tcPr>
          <w:p w14:paraId="51889564" w14:textId="77777777" w:rsidR="00B12B98" w:rsidRDefault="00ED49BD">
            <w:r>
              <w:rPr>
                <w:b/>
                <w:bCs/>
                <w:color w:val="7B2C00"/>
              </w:rPr>
              <w:t>Finalize the full attribute ownership matrix. For every ‘negotiated’ attribute, assign a single owner. Document which SEI UI fields must be locked or monitored.</w:t>
            </w:r>
          </w:p>
        </w:tc>
      </w:tr>
    </w:tbl>
    <w:p w14:paraId="1A298A32" w14:textId="77777777" w:rsidR="00B12B98" w:rsidRDefault="00B12B98">
      <w:pPr>
        <w:spacing w:before="200"/>
      </w:pPr>
    </w:p>
    <w:p w14:paraId="46A74EB2" w14:textId="77777777" w:rsidR="00B12B98" w:rsidRDefault="00ED49BD">
      <w:r>
        <w:br w:type="page"/>
      </w:r>
    </w:p>
    <w:p w14:paraId="1B82D4CA" w14:textId="77777777" w:rsidR="00B12B98" w:rsidRDefault="00ED49BD">
      <w:pPr>
        <w:pStyle w:val="Heading1"/>
        <w:pBdr>
          <w:bottom w:val="single" w:sz="8" w:space="4" w:color="2E75B6"/>
        </w:pBdr>
      </w:pPr>
      <w:r>
        <w:t>Decision 3: SMA-Specific Schema Considerations</w:t>
      </w:r>
    </w:p>
    <w:p w14:paraId="0529FFDC" w14:textId="77777777" w:rsidR="00B12B98" w:rsidRDefault="00ED49BD">
      <w:pPr>
        <w:spacing w:before="80" w:after="100"/>
      </w:pPr>
      <w:r>
        <w:rPr>
          <w:i/>
          <w:iCs/>
          <w:color w:val="595959"/>
        </w:rPr>
        <w:t>SMAs add account-level asset customizations on top of the base security master. These must be modeled as a separate concern — not conflated with the golden asset record itself.</w:t>
      </w:r>
    </w:p>
    <w:p w14:paraId="3749506C" w14:textId="77777777" w:rsidR="00B12B98" w:rsidRDefault="00B12B98">
      <w:pPr>
        <w:spacing w:before="80"/>
      </w:pPr>
    </w:p>
    <w:p w14:paraId="129F0D3D" w14:textId="77777777" w:rsidR="00B12B98" w:rsidRDefault="00ED49BD">
      <w:pPr>
        <w:pStyle w:val="Heading2"/>
      </w:pPr>
      <w:r>
        <w:t>The Core Tension</w:t>
      </w:r>
    </w:p>
    <w:p w14:paraId="7ACB9401" w14:textId="77777777" w:rsidR="00B12B98" w:rsidRDefault="00ED49BD">
      <w:pPr>
        <w:spacing w:before="60" w:after="60"/>
      </w:pPr>
      <w:r>
        <w:rPr>
          <w:color w:val="595959"/>
        </w:rPr>
        <w:t>The same security can have different lot-level treatment, tax priority, and restriction flags per SMA client. If these account-asset junction attributes bleed into the golden asset record, BBH’s MDM becomes account-aware, which breaks the golden source model. SEI may try to manage some of these natively in SWP, which creates a governance gap.</w:t>
      </w:r>
    </w:p>
    <w:p w14:paraId="6EF9E911" w14:textId="77777777" w:rsidR="00B12B98" w:rsidRDefault="00B12B98">
      <w:pPr>
        <w:spacing w:before="80"/>
      </w:pPr>
    </w:p>
    <w:p w14:paraId="046F1103" w14:textId="77777777" w:rsidR="00B12B98" w:rsidRDefault="00ED49BD">
      <w:pPr>
        <w:pStyle w:val="Heading2"/>
      </w:pPr>
      <w:r>
        <w:t>Talking Points</w:t>
      </w:r>
    </w:p>
    <w:p w14:paraId="33EC5FDB" w14:textId="77777777" w:rsidR="00B12B98" w:rsidRDefault="00ED49BD">
      <w:pPr>
        <w:pStyle w:val="ListParagraph"/>
        <w:numPr>
          <w:ilvl w:val="0"/>
          <w:numId w:val="2"/>
        </w:numPr>
        <w:spacing w:before="40" w:after="40"/>
      </w:pPr>
      <w:r>
        <w:rPr>
          <w:color w:val="595959"/>
        </w:rPr>
        <w:t>Model sleeve/mandate overlays as account-asset junction records, not as attributes on the asset master. BBH owns the junction table; it is fed to SEI as a computed overlay, not maintained in SWP.</w:t>
      </w:r>
    </w:p>
    <w:p w14:paraId="0E261E24" w14:textId="77777777" w:rsidR="00B12B98" w:rsidRDefault="00ED49BD">
      <w:pPr>
        <w:pStyle w:val="ListParagraph"/>
        <w:numPr>
          <w:ilvl w:val="0"/>
          <w:numId w:val="2"/>
        </w:numPr>
        <w:spacing w:before="40" w:after="40"/>
      </w:pPr>
      <w:r>
        <w:rPr>
          <w:color w:val="595959"/>
        </w:rPr>
        <w:t>Proxy security mappings — where a model security differs from the actual held security — must live in BBH’s system and be pushed to SEI as a resolved mapping, never resolved inside SWP autonomously.</w:t>
      </w:r>
    </w:p>
    <w:p w14:paraId="675F0CCA" w14:textId="77777777" w:rsidR="00B12B98" w:rsidRDefault="00ED49BD">
      <w:pPr>
        <w:pStyle w:val="ListParagraph"/>
        <w:numPr>
          <w:ilvl w:val="0"/>
          <w:numId w:val="2"/>
        </w:numPr>
        <w:spacing w:before="40" w:after="40"/>
      </w:pPr>
      <w:r>
        <w:rPr>
          <w:color w:val="595959"/>
        </w:rPr>
        <w:t xml:space="preserve">SMA restriction lists must be managed in BBH’s restriction engine and pushed to SEI as a computed </w:t>
      </w:r>
      <w:proofErr w:type="spellStart"/>
      <w:r>
        <w:rPr>
          <w:color w:val="595959"/>
        </w:rPr>
        <w:t>boolean</w:t>
      </w:r>
      <w:proofErr w:type="spellEnd"/>
      <w:r>
        <w:rPr>
          <w:color w:val="595959"/>
        </w:rPr>
        <w:t xml:space="preserve"> flag per account-security pair. SEI should not maintain restriction logic independently.</w:t>
      </w:r>
    </w:p>
    <w:p w14:paraId="447A86B0" w14:textId="77777777" w:rsidR="00B12B98" w:rsidRDefault="00ED49BD">
      <w:pPr>
        <w:pStyle w:val="ListParagraph"/>
        <w:numPr>
          <w:ilvl w:val="0"/>
          <w:numId w:val="2"/>
        </w:numPr>
        <w:spacing w:before="40" w:after="40"/>
      </w:pPr>
      <w:r>
        <w:rPr>
          <w:color w:val="595959"/>
        </w:rPr>
        <w:t>Confirm with SEI: does SWP have a native restriction management module? If so, is it possible to disable it or make it read-only for BBH accounts?</w:t>
      </w:r>
    </w:p>
    <w:p w14:paraId="2B8DD798" w14:textId="77777777" w:rsidR="00B12B98" w:rsidRDefault="00B12B98">
      <w:pPr>
        <w:spacing w:before="80"/>
      </w:pPr>
    </w:p>
    <w:p w14:paraId="7B94AAE5" w14:textId="77777777" w:rsidR="00B12B98" w:rsidRDefault="00ED49BD">
      <w:pPr>
        <w:pStyle w:val="Heading2"/>
      </w:pPr>
      <w:r>
        <w:t>Decision to Record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B12B98" w14:paraId="341CC15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20" w:type="dxa"/>
              <w:bottom w:w="100" w:type="dxa"/>
              <w:right w:w="120" w:type="dxa"/>
            </w:tcMar>
            <w:vAlign w:val="center"/>
          </w:tcPr>
          <w:p w14:paraId="116D1ABD" w14:textId="77777777" w:rsidR="00B12B98" w:rsidRDefault="00ED49BD">
            <w:pPr>
              <w:jc w:val="center"/>
            </w:pPr>
            <w:r>
              <w:rPr>
                <w:b/>
                <w:bCs/>
                <w:color w:val="FFFFFF"/>
                <w:sz w:val="18"/>
                <w:szCs w:val="18"/>
              </w:rPr>
              <w:t>DECIDE</w:t>
            </w:r>
          </w:p>
        </w:tc>
        <w:tc>
          <w:tcPr>
            <w:tcW w:w="7760" w:type="dxa"/>
            <w:tcBorders>
              <w:top w:val="single" w:sz="1" w:space="0" w:color="CCCCCC"/>
              <w:left w:val="single" w:sz="1" w:space="0" w:color="CCCCCC"/>
              <w:bottom w:val="single" w:sz="1" w:space="0" w:color="CCCCCC"/>
              <w:right w:val="single" w:sz="1" w:space="0" w:color="CCCCCC"/>
            </w:tcBorders>
            <w:shd w:val="clear" w:color="auto" w:fill="FBE5D6"/>
            <w:tcMar>
              <w:top w:w="100" w:type="dxa"/>
              <w:left w:w="160" w:type="dxa"/>
              <w:bottom w:w="100" w:type="dxa"/>
              <w:right w:w="120" w:type="dxa"/>
            </w:tcMar>
          </w:tcPr>
          <w:p w14:paraId="21A78EC4" w14:textId="77777777" w:rsidR="00B12B98" w:rsidRDefault="00ED49BD">
            <w:r>
              <w:rPr>
                <w:b/>
                <w:bCs/>
                <w:color w:val="7B2C00"/>
              </w:rPr>
              <w:t>Confirm the data model for account-asset junction attributes (sleeves, restrictions, proxies). Where does each live? Which are SEI read-only?</w:t>
            </w:r>
          </w:p>
        </w:tc>
      </w:tr>
    </w:tbl>
    <w:p w14:paraId="4E31A256" w14:textId="77777777" w:rsidR="00B12B98" w:rsidRDefault="00B12B98">
      <w:pPr>
        <w:spacing w:before="200"/>
      </w:pPr>
    </w:p>
    <w:p w14:paraId="612D8984" w14:textId="77777777" w:rsidR="00B12B98" w:rsidRDefault="00ED49BD">
      <w:pPr>
        <w:pStyle w:val="Heading1"/>
        <w:pBdr>
          <w:bottom w:val="single" w:sz="8" w:space="4" w:color="2E75B6"/>
        </w:pBdr>
      </w:pPr>
      <w:r>
        <w:t>Decision 4: Feed Architecture &amp; Directionality</w:t>
      </w:r>
    </w:p>
    <w:p w14:paraId="2B0189B6" w14:textId="77777777" w:rsidR="00B12B98" w:rsidRDefault="00ED49BD">
      <w:pPr>
        <w:spacing w:before="80" w:after="100"/>
      </w:pPr>
      <w:r>
        <w:rPr>
          <w:i/>
          <w:iCs/>
          <w:color w:val="595959"/>
        </w:rPr>
        <w:t>Once ownership is settled, the physical feed design must enforce those decisions structurally — not just by convention.</w:t>
      </w:r>
    </w:p>
    <w:p w14:paraId="750CCF26" w14:textId="77777777" w:rsidR="00B12B98" w:rsidRDefault="00B12B98">
      <w:pPr>
        <w:spacing w:before="80"/>
      </w:pPr>
    </w:p>
    <w:p w14:paraId="0773E250" w14:textId="77777777" w:rsidR="00B12B98" w:rsidRDefault="00ED49BD">
      <w:pPr>
        <w:pStyle w:val="Heading2"/>
      </w:pPr>
      <w:r>
        <w:t>The Core Tension</w:t>
      </w:r>
    </w:p>
    <w:p w14:paraId="03BDD422" w14:textId="77777777" w:rsidR="00B12B98" w:rsidRDefault="00ED49BD">
      <w:pPr>
        <w:spacing w:before="60" w:after="60"/>
      </w:pPr>
      <w:r>
        <w:rPr>
          <w:color w:val="595959"/>
        </w:rPr>
        <w:t>BBH Golden Source must flow to SEI. But SEI generates processing outputs — rejections, reconciliation exceptions, operational enrichments — that must flow back to BBH without becoming write-backs to the golden record. The feedback loop design determines whether the directionality rule holds in practice.</w:t>
      </w:r>
    </w:p>
    <w:p w14:paraId="247FD141" w14:textId="77777777" w:rsidR="00B12B98" w:rsidRDefault="00B12B98">
      <w:pPr>
        <w:spacing w:before="80"/>
      </w:pPr>
    </w:p>
    <w:p w14:paraId="568B673B" w14:textId="77777777" w:rsidR="00B12B98" w:rsidRDefault="00ED49BD">
      <w:pPr>
        <w:pStyle w:val="Heading2"/>
      </w:pPr>
      <w:r>
        <w:t>Feed Design Principles (Talking Points)</w:t>
      </w:r>
    </w:p>
    <w:p w14:paraId="3D041A40" w14:textId="77777777" w:rsidR="00B12B98" w:rsidRDefault="00ED49BD">
      <w:pPr>
        <w:pStyle w:val="ListParagraph"/>
        <w:numPr>
          <w:ilvl w:val="0"/>
          <w:numId w:val="2"/>
        </w:numPr>
        <w:spacing w:before="40" w:after="40"/>
      </w:pPr>
      <w:r>
        <w:rPr>
          <w:color w:val="595959"/>
        </w:rPr>
        <w:t>BBH → SEI is the only permitted direction for golden attributes. SEI never writes back to MDM for BBH-owned fields.</w:t>
      </w:r>
    </w:p>
    <w:p w14:paraId="616FDE97" w14:textId="77777777" w:rsidR="00B12B98" w:rsidRDefault="00ED49BD">
      <w:pPr>
        <w:pStyle w:val="ListParagraph"/>
        <w:numPr>
          <w:ilvl w:val="0"/>
          <w:numId w:val="2"/>
        </w:numPr>
        <w:spacing w:before="40" w:after="40"/>
      </w:pPr>
      <w:r>
        <w:rPr>
          <w:color w:val="595959"/>
        </w:rPr>
        <w:t>SEI operational feedback — load rejections, unresolved references, reconciliation exceptions — goes into a BBH integration layer feedback queue for ops triage. It does not touch MDM directly.</w:t>
      </w:r>
    </w:p>
    <w:p w14:paraId="1BBB42CA" w14:textId="77777777" w:rsidR="00B12B98" w:rsidRDefault="00ED49BD">
      <w:pPr>
        <w:pStyle w:val="ListParagraph"/>
        <w:numPr>
          <w:ilvl w:val="0"/>
          <w:numId w:val="2"/>
        </w:numPr>
        <w:spacing w:before="40" w:after="40"/>
      </w:pPr>
      <w:r>
        <w:rPr>
          <w:color w:val="595959"/>
        </w:rPr>
        <w:t xml:space="preserve">Define delta vs. full refresh strategy upfront: full refresh (weekly or daily) plus intraday deltas is the typical pattern. SEI’s asset load API must support idempotent </w:t>
      </w:r>
      <w:proofErr w:type="spellStart"/>
      <w:r>
        <w:rPr>
          <w:color w:val="595959"/>
        </w:rPr>
        <w:t>upserts</w:t>
      </w:r>
      <w:proofErr w:type="spellEnd"/>
      <w:r>
        <w:rPr>
          <w:color w:val="595959"/>
        </w:rPr>
        <w:t xml:space="preserve"> for delta processing.</w:t>
      </w:r>
    </w:p>
    <w:p w14:paraId="79FE037D" w14:textId="77777777" w:rsidR="00B12B98" w:rsidRDefault="00ED49BD">
      <w:pPr>
        <w:pStyle w:val="ListParagraph"/>
        <w:numPr>
          <w:ilvl w:val="0"/>
          <w:numId w:val="2"/>
        </w:numPr>
        <w:spacing w:before="40" w:after="40"/>
      </w:pPr>
      <w:r>
        <w:rPr>
          <w:color w:val="595959"/>
        </w:rPr>
        <w:t xml:space="preserve">New asset creation events must trigger near-real-time notification to SEI (Kafka topic or </w:t>
      </w:r>
      <w:proofErr w:type="spellStart"/>
      <w:r>
        <w:rPr>
          <w:color w:val="595959"/>
        </w:rPr>
        <w:t>webhook</w:t>
      </w:r>
      <w:proofErr w:type="spellEnd"/>
      <w:r>
        <w:rPr>
          <w:color w:val="595959"/>
        </w:rPr>
        <w:t>), not wait for the next batch window, to support T+0 tradability requirements.</w:t>
      </w:r>
    </w:p>
    <w:p w14:paraId="20D8D6E3" w14:textId="77777777" w:rsidR="00B12B98" w:rsidRDefault="00ED49BD">
      <w:pPr>
        <w:pStyle w:val="ListParagraph"/>
        <w:numPr>
          <w:ilvl w:val="0"/>
          <w:numId w:val="2"/>
        </w:numPr>
        <w:spacing w:before="40" w:after="40"/>
      </w:pPr>
      <w:r>
        <w:rPr>
          <w:color w:val="595959"/>
        </w:rPr>
        <w:t>The integration layer (</w:t>
      </w:r>
      <w:proofErr w:type="spellStart"/>
      <w:r>
        <w:rPr>
          <w:color w:val="595959"/>
        </w:rPr>
        <w:t>Apigee</w:t>
      </w:r>
      <w:proofErr w:type="spellEnd"/>
      <w:r>
        <w:rPr>
          <w:color w:val="595959"/>
        </w:rPr>
        <w:t xml:space="preserve"> / Kafka) must be the control plane. No direct database links between BBH and SEI environments.</w:t>
      </w:r>
    </w:p>
    <w:p w14:paraId="39B87B56" w14:textId="77777777" w:rsidR="00B12B98" w:rsidRDefault="00B12B98">
      <w:pPr>
        <w:spacing w:before="80"/>
      </w:pPr>
    </w:p>
    <w:p w14:paraId="756066E9" w14:textId="77777777" w:rsidR="00B12B98" w:rsidRDefault="00ED49BD">
      <w:pPr>
        <w:pStyle w:val="Heading2"/>
      </w:pPr>
      <w:r>
        <w:t>Feed Architecture</w:t>
      </w:r>
    </w:p>
    <w:p w14:paraId="0E58DC3A" w14:textId="77777777" w:rsidR="00B12B98" w:rsidRDefault="00B12B98">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B12B98" w14:paraId="2201CF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055FFC" w14:textId="77777777" w:rsidR="00B12B98" w:rsidRDefault="00ED49BD">
            <w:r>
              <w:rPr>
                <w:b/>
                <w:bCs/>
                <w:color w:val="FFFFFF"/>
                <w:sz w:val="19"/>
                <w:szCs w:val="19"/>
              </w:rPr>
              <w:t>Layer</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4001E4" w14:textId="77777777" w:rsidR="00B12B98" w:rsidRDefault="00ED49BD">
            <w:r>
              <w:rPr>
                <w:b/>
                <w:bCs/>
                <w:color w:val="FFFFFF"/>
                <w:sz w:val="19"/>
                <w:szCs w:val="19"/>
              </w:rPr>
              <w:t>Component</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955C46" w14:textId="77777777" w:rsidR="00B12B98" w:rsidRDefault="00ED49BD">
            <w:r>
              <w:rPr>
                <w:b/>
                <w:bCs/>
                <w:color w:val="FFFFFF"/>
                <w:sz w:val="19"/>
                <w:szCs w:val="19"/>
              </w:rPr>
              <w:t>BBH Ownership</w:t>
            </w:r>
          </w:p>
        </w:tc>
      </w:tr>
      <w:tr w:rsidR="00B12B98" w14:paraId="33BA69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732B4E" w14:textId="77777777" w:rsidR="00B12B98" w:rsidRDefault="00ED49BD">
            <w:r>
              <w:rPr>
                <w:color w:val="595959"/>
                <w:sz w:val="19"/>
                <w:szCs w:val="19"/>
              </w:rPr>
              <w:t>Source of Truth</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5129C6" w14:textId="77777777" w:rsidR="00B12B98" w:rsidRDefault="00ED49BD">
            <w:r>
              <w:rPr>
                <w:color w:val="595959"/>
                <w:sz w:val="19"/>
                <w:szCs w:val="19"/>
              </w:rPr>
              <w:t>BBH Golden Source MDM</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BC73FD" w14:textId="77777777" w:rsidR="00B12B98" w:rsidRDefault="00ED49BD">
            <w:r>
              <w:rPr>
                <w:color w:val="595959"/>
                <w:sz w:val="19"/>
                <w:szCs w:val="19"/>
              </w:rPr>
              <w:t>Full ownership</w:t>
            </w:r>
          </w:p>
        </w:tc>
      </w:tr>
      <w:tr w:rsidR="00B12B98" w14:paraId="153B9E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B31B" w14:textId="77777777" w:rsidR="00B12B98" w:rsidRDefault="00ED49BD">
            <w:r>
              <w:rPr>
                <w:color w:val="595959"/>
                <w:sz w:val="19"/>
                <w:szCs w:val="19"/>
              </w:rPr>
              <w:t>Translation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EC263" w14:textId="77777777" w:rsidR="00B12B98" w:rsidRDefault="00ED49BD">
            <w:proofErr w:type="spellStart"/>
            <w:r>
              <w:rPr>
                <w:color w:val="595959"/>
                <w:sz w:val="19"/>
                <w:szCs w:val="19"/>
              </w:rPr>
              <w:t>dbt</w:t>
            </w:r>
            <w:proofErr w:type="spellEnd"/>
            <w:r>
              <w:rPr>
                <w:color w:val="595959"/>
                <w:sz w:val="19"/>
                <w:szCs w:val="19"/>
              </w:rPr>
              <w:t xml:space="preserve"> schema crosswalk / Schema Registry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436EB" w14:textId="77777777" w:rsidR="00B12B98" w:rsidRDefault="00ED49BD">
            <w:r>
              <w:rPr>
                <w:color w:val="595959"/>
                <w:sz w:val="19"/>
                <w:szCs w:val="19"/>
              </w:rPr>
              <w:t>BBH maintains</w:t>
            </w:r>
          </w:p>
        </w:tc>
      </w:tr>
      <w:tr w:rsidR="00B12B98" w14:paraId="6655AD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AD87C" w14:textId="77777777" w:rsidR="00B12B98" w:rsidRDefault="00ED49BD">
            <w:r>
              <w:rPr>
                <w:color w:val="595959"/>
                <w:sz w:val="19"/>
                <w:szCs w:val="19"/>
              </w:rPr>
              <w:t>Transport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FD01B" w14:textId="77777777" w:rsidR="00B12B98" w:rsidRDefault="00ED49BD">
            <w:proofErr w:type="spellStart"/>
            <w:r>
              <w:rPr>
                <w:color w:val="595959"/>
                <w:sz w:val="19"/>
                <w:szCs w:val="19"/>
              </w:rPr>
              <w:t>Apigee</w:t>
            </w:r>
            <w:proofErr w:type="spellEnd"/>
            <w:r>
              <w:rPr>
                <w:color w:val="595959"/>
                <w:sz w:val="19"/>
                <w:szCs w:val="19"/>
              </w:rPr>
              <w:t xml:space="preserve"> / Kafka topic</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F8B75" w14:textId="77777777" w:rsidR="00B12B98" w:rsidRDefault="00ED49BD">
            <w:r>
              <w:rPr>
                <w:color w:val="595959"/>
                <w:sz w:val="19"/>
                <w:szCs w:val="19"/>
              </w:rPr>
              <w:t>BBH controls</w:t>
            </w:r>
          </w:p>
        </w:tc>
      </w:tr>
      <w:tr w:rsidR="00B12B98" w14:paraId="5916B5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7D864" w14:textId="77777777" w:rsidR="00B12B98" w:rsidRDefault="00ED49BD">
            <w:r>
              <w:rPr>
                <w:color w:val="595959"/>
                <w:sz w:val="19"/>
                <w:szCs w:val="19"/>
              </w:rPr>
              <w:t>Consumer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562D8" w14:textId="77777777" w:rsidR="00B12B98" w:rsidRDefault="00ED49BD">
            <w:r>
              <w:rPr>
                <w:color w:val="595959"/>
                <w:sz w:val="19"/>
                <w:szCs w:val="19"/>
              </w:rPr>
              <w:t>SEI SWP Asset Load API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DF5AC" w14:textId="77777777" w:rsidR="00B12B98" w:rsidRDefault="00ED49BD">
            <w:r>
              <w:rPr>
                <w:color w:val="595959"/>
                <w:sz w:val="19"/>
                <w:szCs w:val="19"/>
              </w:rPr>
              <w:t>SEI internal</w:t>
            </w:r>
          </w:p>
        </w:tc>
      </w:tr>
      <w:tr w:rsidR="00B12B98" w14:paraId="02F7DF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A1C2A" w14:textId="77777777" w:rsidR="00B12B98" w:rsidRDefault="00ED49BD">
            <w:r>
              <w:rPr>
                <w:color w:val="595959"/>
                <w:sz w:val="19"/>
                <w:szCs w:val="19"/>
              </w:rPr>
              <w:t>Feedback</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5758BD" w14:textId="77777777" w:rsidR="00B12B98" w:rsidRDefault="00ED49BD">
            <w:r>
              <w:rPr>
                <w:color w:val="595959"/>
                <w:sz w:val="19"/>
                <w:szCs w:val="19"/>
              </w:rPr>
              <w:t>SEI exception queue → BBH Ops triage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43091" w14:textId="77777777" w:rsidR="00B12B98" w:rsidRDefault="00ED49BD">
            <w:r>
              <w:rPr>
                <w:color w:val="595959"/>
                <w:sz w:val="19"/>
                <w:szCs w:val="19"/>
              </w:rPr>
              <w:t>BBH integration layer</w:t>
            </w:r>
          </w:p>
        </w:tc>
      </w:tr>
    </w:tbl>
    <w:p w14:paraId="7A404DC4" w14:textId="77777777" w:rsidR="00B12B98" w:rsidRDefault="00B12B98">
      <w:pPr>
        <w:spacing w:before="80"/>
      </w:pPr>
    </w:p>
    <w:p w14:paraId="0FF462C0" w14:textId="77777777" w:rsidR="00B12B98" w:rsidRDefault="00ED49BD">
      <w:pPr>
        <w:pStyle w:val="Heading2"/>
      </w:pPr>
      <w:r>
        <w:t>Decision to Record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B12B98" w14:paraId="4E506E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20" w:type="dxa"/>
              <w:bottom w:w="100" w:type="dxa"/>
              <w:right w:w="120" w:type="dxa"/>
            </w:tcMar>
            <w:vAlign w:val="center"/>
          </w:tcPr>
          <w:p w14:paraId="2D7D249C" w14:textId="77777777" w:rsidR="00B12B98" w:rsidRDefault="00ED49BD">
            <w:pPr>
              <w:jc w:val="center"/>
            </w:pPr>
            <w:r>
              <w:rPr>
                <w:b/>
                <w:bCs/>
                <w:color w:val="FFFFFF"/>
                <w:sz w:val="18"/>
                <w:szCs w:val="18"/>
              </w:rPr>
              <w:t>DECIDE</w:t>
            </w:r>
          </w:p>
        </w:tc>
        <w:tc>
          <w:tcPr>
            <w:tcW w:w="7760" w:type="dxa"/>
            <w:tcBorders>
              <w:top w:val="single" w:sz="1" w:space="0" w:color="CCCCCC"/>
              <w:left w:val="single" w:sz="1" w:space="0" w:color="CCCCCC"/>
              <w:bottom w:val="single" w:sz="1" w:space="0" w:color="CCCCCC"/>
              <w:right w:val="single" w:sz="1" w:space="0" w:color="CCCCCC"/>
            </w:tcBorders>
            <w:shd w:val="clear" w:color="auto" w:fill="FBE5D6"/>
            <w:tcMar>
              <w:top w:w="100" w:type="dxa"/>
              <w:left w:w="160" w:type="dxa"/>
              <w:bottom w:w="100" w:type="dxa"/>
              <w:right w:w="120" w:type="dxa"/>
            </w:tcMar>
          </w:tcPr>
          <w:p w14:paraId="34F24BBD" w14:textId="77777777" w:rsidR="00B12B98" w:rsidRDefault="00ED49BD">
            <w:r>
              <w:rPr>
                <w:b/>
                <w:bCs/>
                <w:color w:val="7B2C00"/>
              </w:rPr>
              <w:t>Agree on feed frequency, delta strategy, and SEI’s asset load API contract. Confirm the feedback queue design so SEI exceptions don’t become MDM write-backs.</w:t>
            </w:r>
          </w:p>
        </w:tc>
      </w:tr>
    </w:tbl>
    <w:p w14:paraId="7E9A9AC5" w14:textId="77777777" w:rsidR="00B12B98" w:rsidRDefault="00B12B98">
      <w:pPr>
        <w:spacing w:before="200"/>
      </w:pPr>
    </w:p>
    <w:p w14:paraId="0C3084A9" w14:textId="77777777" w:rsidR="00B12B98" w:rsidRDefault="00ED49BD">
      <w:r>
        <w:br w:type="page"/>
      </w:r>
    </w:p>
    <w:p w14:paraId="3C5DFC12" w14:textId="77777777" w:rsidR="00B12B98" w:rsidRDefault="00ED49BD">
      <w:pPr>
        <w:pStyle w:val="Heading1"/>
        <w:pBdr>
          <w:bottom w:val="single" w:sz="8" w:space="4" w:color="2E75B6"/>
        </w:pBdr>
      </w:pPr>
      <w:r>
        <w:t>Decision 5: Schema Translation &amp; Mapping Registry</w:t>
      </w:r>
    </w:p>
    <w:p w14:paraId="7C9C0C9C" w14:textId="77777777" w:rsidR="00B12B98" w:rsidRDefault="00ED49BD">
      <w:pPr>
        <w:spacing w:before="80" w:after="100"/>
      </w:pPr>
      <w:r>
        <w:rPr>
          <w:i/>
          <w:iCs/>
          <w:color w:val="595959"/>
        </w:rPr>
        <w:t>SEI SWP uses its own field names, code tables, and enumerations. BBH uses its own. The translation layer must be version-controlled, machine-readable, and insulated from SEI upgrade cycles.</w:t>
      </w:r>
    </w:p>
    <w:p w14:paraId="099CC738" w14:textId="77777777" w:rsidR="00B12B98" w:rsidRDefault="00B12B98">
      <w:pPr>
        <w:spacing w:before="80"/>
      </w:pPr>
    </w:p>
    <w:p w14:paraId="5E935D46" w14:textId="77777777" w:rsidR="00B12B98" w:rsidRDefault="00ED49BD">
      <w:pPr>
        <w:pStyle w:val="Heading2"/>
      </w:pPr>
      <w:r>
        <w:t>The Core Tension</w:t>
      </w:r>
    </w:p>
    <w:p w14:paraId="566E2D88" w14:textId="77777777" w:rsidR="00B12B98" w:rsidRDefault="00ED49BD">
      <w:pPr>
        <w:spacing w:before="60" w:after="60"/>
      </w:pPr>
      <w:r>
        <w:rPr>
          <w:color w:val="595959"/>
        </w:rPr>
        <w:t>If field mappings live in documentation or tribal knowledge, a SEI schema upgrade silently breaks integration and nobody knows until production data is wrong. The mapping must be a governed, executable artifact.</w:t>
      </w:r>
    </w:p>
    <w:p w14:paraId="5BD591D9" w14:textId="77777777" w:rsidR="00B12B98" w:rsidRDefault="00B12B98">
      <w:pPr>
        <w:spacing w:before="80"/>
      </w:pPr>
    </w:p>
    <w:p w14:paraId="2B490AB3" w14:textId="77777777" w:rsidR="00B12B98" w:rsidRDefault="00ED49BD">
      <w:pPr>
        <w:pStyle w:val="Heading2"/>
      </w:pPr>
      <w:r>
        <w:t>Talking Points</w:t>
      </w:r>
    </w:p>
    <w:p w14:paraId="2C2C38D7" w14:textId="77777777" w:rsidR="00B12B98" w:rsidRDefault="00ED49BD">
      <w:pPr>
        <w:pStyle w:val="ListParagraph"/>
        <w:numPr>
          <w:ilvl w:val="0"/>
          <w:numId w:val="2"/>
        </w:numPr>
        <w:spacing w:before="40" w:after="40"/>
      </w:pPr>
      <w:r>
        <w:rPr>
          <w:color w:val="595959"/>
        </w:rPr>
        <w:t>The schema translation layer must be version-controlled. When SEI upgrades and changes its asset schema, BBH absorbs that change at the translation layer without touching the canonical BBH model.</w:t>
      </w:r>
    </w:p>
    <w:p w14:paraId="378D5258" w14:textId="77777777" w:rsidR="00B12B98" w:rsidRDefault="00ED49BD">
      <w:pPr>
        <w:pStyle w:val="ListParagraph"/>
        <w:numPr>
          <w:ilvl w:val="0"/>
          <w:numId w:val="2"/>
        </w:numPr>
        <w:spacing w:before="40" w:after="40"/>
      </w:pPr>
      <w:r>
        <w:rPr>
          <w:color w:val="595959"/>
        </w:rPr>
        <w:t xml:space="preserve">Enumeration mapping is the highest-risk area: SEI’s asset class codes are not BBH’s. The </w:t>
      </w:r>
      <w:proofErr w:type="spellStart"/>
      <w:r>
        <w:rPr>
          <w:color w:val="595959"/>
        </w:rPr>
        <w:t>dbt</w:t>
      </w:r>
      <w:proofErr w:type="spellEnd"/>
      <w:r>
        <w:rPr>
          <w:color w:val="595959"/>
        </w:rPr>
        <w:t xml:space="preserve"> crosswalk project is the right home for this — extend it to be the authoritative, machine-readable mapping registry.</w:t>
      </w:r>
    </w:p>
    <w:p w14:paraId="439CC353" w14:textId="77777777" w:rsidR="00B12B98" w:rsidRDefault="00ED49BD">
      <w:pPr>
        <w:pStyle w:val="ListParagraph"/>
        <w:numPr>
          <w:ilvl w:val="0"/>
          <w:numId w:val="2"/>
        </w:numPr>
        <w:spacing w:before="40" w:after="40"/>
      </w:pPr>
      <w:r>
        <w:rPr>
          <w:color w:val="595959"/>
        </w:rPr>
        <w:t>Every SEI field must be traceable back to a BBH source attribute and transformation rule. Bidirectional traceability is a lineage requirement, not just a documentation nicety.</w:t>
      </w:r>
    </w:p>
    <w:p w14:paraId="6FFE1A52" w14:textId="77777777" w:rsidR="00B12B98" w:rsidRDefault="00ED49BD">
      <w:pPr>
        <w:pStyle w:val="ListParagraph"/>
        <w:numPr>
          <w:ilvl w:val="0"/>
          <w:numId w:val="2"/>
        </w:numPr>
        <w:spacing w:before="40" w:after="40"/>
      </w:pPr>
      <w:r>
        <w:rPr>
          <w:color w:val="595959"/>
        </w:rPr>
        <w:t>Stand up a Schema Registry (</w:t>
      </w:r>
      <w:proofErr w:type="spellStart"/>
      <w:r>
        <w:rPr>
          <w:color w:val="595959"/>
        </w:rPr>
        <w:t>dbt</w:t>
      </w:r>
      <w:proofErr w:type="spellEnd"/>
      <w:r>
        <w:rPr>
          <w:color w:val="595959"/>
        </w:rPr>
        <w:t xml:space="preserve"> seed tables as a minimum; Confluent Schema Registry if Kafka is in play) so mapping contracts are executable, not just documented in a Word file.</w:t>
      </w:r>
    </w:p>
    <w:p w14:paraId="0244AD76" w14:textId="77777777" w:rsidR="00B12B98" w:rsidRDefault="00ED49BD">
      <w:pPr>
        <w:pStyle w:val="ListParagraph"/>
        <w:numPr>
          <w:ilvl w:val="0"/>
          <w:numId w:val="2"/>
        </w:numPr>
        <w:spacing w:before="40" w:after="40"/>
      </w:pPr>
      <w:r>
        <w:rPr>
          <w:color w:val="595959"/>
        </w:rPr>
        <w:t>Establish a formal change management process with SEI: any SEI schema changes must trigger a BBH integration impact assessment before deployment.</w:t>
      </w:r>
    </w:p>
    <w:p w14:paraId="1FBF2A1D" w14:textId="77777777" w:rsidR="00B12B98" w:rsidRDefault="00B12B98">
      <w:pPr>
        <w:spacing w:before="80"/>
      </w:pPr>
    </w:p>
    <w:p w14:paraId="03BF4E64" w14:textId="77777777" w:rsidR="00B12B98" w:rsidRDefault="00ED49BD">
      <w:pPr>
        <w:pStyle w:val="Heading2"/>
      </w:pPr>
      <w:r>
        <w:t>Decision to Record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B12B98" w14:paraId="1D43A7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20" w:type="dxa"/>
              <w:bottom w:w="100" w:type="dxa"/>
              <w:right w:w="120" w:type="dxa"/>
            </w:tcMar>
            <w:vAlign w:val="center"/>
          </w:tcPr>
          <w:p w14:paraId="5D2F111E" w14:textId="77777777" w:rsidR="00B12B98" w:rsidRDefault="00ED49BD">
            <w:pPr>
              <w:jc w:val="center"/>
            </w:pPr>
            <w:r>
              <w:rPr>
                <w:b/>
                <w:bCs/>
                <w:color w:val="FFFFFF"/>
                <w:sz w:val="18"/>
                <w:szCs w:val="18"/>
              </w:rPr>
              <w:t>DECIDE</w:t>
            </w:r>
          </w:p>
        </w:tc>
        <w:tc>
          <w:tcPr>
            <w:tcW w:w="7760" w:type="dxa"/>
            <w:tcBorders>
              <w:top w:val="single" w:sz="1" w:space="0" w:color="CCCCCC"/>
              <w:left w:val="single" w:sz="1" w:space="0" w:color="CCCCCC"/>
              <w:bottom w:val="single" w:sz="1" w:space="0" w:color="CCCCCC"/>
              <w:right w:val="single" w:sz="1" w:space="0" w:color="CCCCCC"/>
            </w:tcBorders>
            <w:shd w:val="clear" w:color="auto" w:fill="FBE5D6"/>
            <w:tcMar>
              <w:top w:w="100" w:type="dxa"/>
              <w:left w:w="160" w:type="dxa"/>
              <w:bottom w:w="100" w:type="dxa"/>
              <w:right w:w="120" w:type="dxa"/>
            </w:tcMar>
          </w:tcPr>
          <w:p w14:paraId="71B08DFA" w14:textId="77777777" w:rsidR="00B12B98" w:rsidRDefault="00ED49BD">
            <w:r>
              <w:rPr>
                <w:b/>
                <w:bCs/>
                <w:color w:val="7B2C00"/>
              </w:rPr>
              <w:t>Where does the schema translation registry live (</w:t>
            </w:r>
            <w:proofErr w:type="spellStart"/>
            <w:r>
              <w:rPr>
                <w:b/>
                <w:bCs/>
                <w:color w:val="7B2C00"/>
              </w:rPr>
              <w:t>dbt</w:t>
            </w:r>
            <w:proofErr w:type="spellEnd"/>
            <w:r>
              <w:rPr>
                <w:b/>
                <w:bCs/>
                <w:color w:val="7B2C00"/>
              </w:rPr>
              <w:t xml:space="preserve"> seeds vs. dedicated registry)? Who owns enumeration mapping updates, and what is the change notification process with SEI?</w:t>
            </w:r>
          </w:p>
        </w:tc>
      </w:tr>
    </w:tbl>
    <w:p w14:paraId="476E973E" w14:textId="77777777" w:rsidR="00B12B98" w:rsidRDefault="00B12B98">
      <w:pPr>
        <w:spacing w:before="200"/>
      </w:pPr>
    </w:p>
    <w:p w14:paraId="78ACF698" w14:textId="77777777" w:rsidR="00B12B98" w:rsidRDefault="00ED49BD">
      <w:pPr>
        <w:pStyle w:val="Heading1"/>
        <w:pBdr>
          <w:bottom w:val="single" w:sz="8" w:space="4" w:color="2E75B6"/>
        </w:pBdr>
      </w:pPr>
      <w:r>
        <w:t>Decision 6: Conflict Detection &amp; Reconciliation</w:t>
      </w:r>
    </w:p>
    <w:p w14:paraId="1E7D1397" w14:textId="77777777" w:rsidR="00B12B98" w:rsidRDefault="00ED49BD">
      <w:pPr>
        <w:spacing w:before="80" w:after="100"/>
      </w:pPr>
      <w:r>
        <w:rPr>
          <w:i/>
          <w:iCs/>
          <w:color w:val="595959"/>
        </w:rPr>
        <w:t>Even with perfect architecture, drift will happen. Feed failures, SEI ops edits, and timing gaps will cause BBH and SEI to diverge. The framework for detecting and resolving this must be in place before go-live.</w:t>
      </w:r>
    </w:p>
    <w:p w14:paraId="3F6550C3" w14:textId="77777777" w:rsidR="00B12B98" w:rsidRDefault="00B12B98">
      <w:pPr>
        <w:spacing w:before="80"/>
      </w:pPr>
    </w:p>
    <w:p w14:paraId="2CD81891" w14:textId="77777777" w:rsidR="00B12B98" w:rsidRDefault="00ED49BD">
      <w:pPr>
        <w:pStyle w:val="Heading2"/>
      </w:pPr>
      <w:r>
        <w:t>The Core Tension</w:t>
      </w:r>
    </w:p>
    <w:p w14:paraId="79333057" w14:textId="77777777" w:rsidR="00B12B98" w:rsidRDefault="00ED49BD">
      <w:pPr>
        <w:spacing w:before="60" w:after="60"/>
      </w:pPr>
      <w:r>
        <w:rPr>
          <w:color w:val="595959"/>
        </w:rPr>
        <w:t>Without a reconciliation framework, silent data drift accumulates until it causes a pricing or settlement failure. Detecting it after the fact is far more expensive than a daily compare run.</w:t>
      </w:r>
    </w:p>
    <w:p w14:paraId="3BD26641" w14:textId="77777777" w:rsidR="00B12B98" w:rsidRDefault="00B12B98">
      <w:pPr>
        <w:spacing w:before="80"/>
      </w:pPr>
    </w:p>
    <w:p w14:paraId="11A98DA1" w14:textId="77777777" w:rsidR="00B12B98" w:rsidRDefault="00ED49BD">
      <w:pPr>
        <w:pStyle w:val="Heading2"/>
      </w:pPr>
      <w:r>
        <w:t>Talking Points</w:t>
      </w:r>
    </w:p>
    <w:p w14:paraId="30AB0DF0" w14:textId="77777777" w:rsidR="00B12B98" w:rsidRDefault="00ED49BD">
      <w:pPr>
        <w:pStyle w:val="ListParagraph"/>
        <w:numPr>
          <w:ilvl w:val="0"/>
          <w:numId w:val="2"/>
        </w:numPr>
        <w:spacing w:before="40" w:after="40"/>
      </w:pPr>
      <w:r>
        <w:rPr>
          <w:color w:val="595959"/>
        </w:rPr>
        <w:t>Run a daily asset attribute comparison between BBH Golden Source snapshot and what SEI reports as its current asset state. This is non-negotiable before UAT.</w:t>
      </w:r>
    </w:p>
    <w:p w14:paraId="2D428FB9" w14:textId="77777777" w:rsidR="00B12B98" w:rsidRDefault="00ED49BD">
      <w:pPr>
        <w:pStyle w:val="ListParagraph"/>
        <w:numPr>
          <w:ilvl w:val="0"/>
          <w:numId w:val="2"/>
        </w:numPr>
        <w:spacing w:before="40" w:after="40"/>
      </w:pPr>
      <w:r>
        <w:rPr>
          <w:b/>
          <w:bCs/>
          <w:color w:val="1F4E79"/>
        </w:rPr>
        <w:t xml:space="preserve">Framework: </w:t>
      </w:r>
      <w:r>
        <w:rPr>
          <w:color w:val="595959"/>
        </w:rPr>
        <w:t>Tier reconciliation breaks by severity:</w:t>
      </w:r>
    </w:p>
    <w:p w14:paraId="6D907662" w14:textId="77777777" w:rsidR="00B12B98" w:rsidRDefault="00ED49BD">
      <w:pPr>
        <w:pStyle w:val="ListParagraph"/>
        <w:numPr>
          <w:ilvl w:val="0"/>
          <w:numId w:val="3"/>
        </w:numPr>
        <w:spacing w:before="30" w:after="30"/>
      </w:pPr>
      <w:r>
        <w:rPr>
          <w:color w:val="595959"/>
          <w:sz w:val="19"/>
          <w:szCs w:val="19"/>
        </w:rPr>
        <w:t>P1: Pricing-impacting mismatches (asset class, accrual basis, valuation method) — immediate ops alert</w:t>
      </w:r>
    </w:p>
    <w:p w14:paraId="5A1A870F" w14:textId="77777777" w:rsidR="00B12B98" w:rsidRDefault="00ED49BD">
      <w:pPr>
        <w:pStyle w:val="ListParagraph"/>
        <w:numPr>
          <w:ilvl w:val="0"/>
          <w:numId w:val="3"/>
        </w:numPr>
        <w:spacing w:before="30" w:after="30"/>
      </w:pPr>
      <w:r>
        <w:rPr>
          <w:color w:val="595959"/>
          <w:sz w:val="19"/>
          <w:szCs w:val="19"/>
        </w:rPr>
        <w:t>P2: Processing-impacting mismatches (settlement type, income flags) — same-day resolution SLA</w:t>
      </w:r>
    </w:p>
    <w:p w14:paraId="46BC3539" w14:textId="77777777" w:rsidR="00B12B98" w:rsidRDefault="00ED49BD">
      <w:pPr>
        <w:pStyle w:val="ListParagraph"/>
        <w:numPr>
          <w:ilvl w:val="0"/>
          <w:numId w:val="3"/>
        </w:numPr>
        <w:spacing w:before="30" w:after="30"/>
      </w:pPr>
      <w:r>
        <w:rPr>
          <w:color w:val="595959"/>
          <w:sz w:val="19"/>
          <w:szCs w:val="19"/>
        </w:rPr>
        <w:t>P3: Descriptive mismatches (name casing, non-material identifiers) — batch resolution</w:t>
      </w:r>
    </w:p>
    <w:p w14:paraId="3D529F54" w14:textId="77777777" w:rsidR="00B12B98" w:rsidRDefault="00ED49BD">
      <w:pPr>
        <w:pStyle w:val="ListParagraph"/>
        <w:numPr>
          <w:ilvl w:val="0"/>
          <w:numId w:val="2"/>
        </w:numPr>
        <w:spacing w:before="40" w:after="40"/>
      </w:pPr>
      <w:r>
        <w:rPr>
          <w:color w:val="595959"/>
        </w:rPr>
        <w:t>BBH wins all conflicts by default. The escalation path for genuine edge cases must be defined before go-live, not invented in production.</w:t>
      </w:r>
    </w:p>
    <w:p w14:paraId="25B72844" w14:textId="77777777" w:rsidR="00B12B98" w:rsidRDefault="00ED49BD">
      <w:pPr>
        <w:pStyle w:val="ListParagraph"/>
        <w:numPr>
          <w:ilvl w:val="0"/>
          <w:numId w:val="2"/>
        </w:numPr>
        <w:spacing w:before="40" w:after="40"/>
      </w:pPr>
      <w:r>
        <w:rPr>
          <w:color w:val="595959"/>
        </w:rPr>
        <w:t>The PBWH staging UI is a strong candidate for surfacing reconciliation breaks to BBH ops. Confirm whether this is the right home or whether a standalone recon dashboard is needed.</w:t>
      </w:r>
    </w:p>
    <w:p w14:paraId="7E908EDE" w14:textId="77777777" w:rsidR="00B12B98" w:rsidRDefault="00ED49BD">
      <w:pPr>
        <w:pStyle w:val="ListParagraph"/>
        <w:numPr>
          <w:ilvl w:val="0"/>
          <w:numId w:val="2"/>
        </w:numPr>
        <w:spacing w:before="40" w:after="40"/>
      </w:pPr>
      <w:r>
        <w:rPr>
          <w:color w:val="595959"/>
        </w:rPr>
        <w:t xml:space="preserve">Every attribute change in Golden Source must be </w:t>
      </w:r>
      <w:proofErr w:type="spellStart"/>
      <w:r>
        <w:rPr>
          <w:color w:val="595959"/>
        </w:rPr>
        <w:t>timestamped</w:t>
      </w:r>
      <w:proofErr w:type="spellEnd"/>
      <w:r>
        <w:rPr>
          <w:color w:val="595959"/>
        </w:rPr>
        <w:t xml:space="preserve"> and versioned. This enables reconstruction of ‘what SEI should have had’ at any point in time — critical for bi-temporal audit and client reporting disputes.</w:t>
      </w:r>
    </w:p>
    <w:p w14:paraId="0AC5D682" w14:textId="77777777" w:rsidR="00B12B98" w:rsidRDefault="00B12B98">
      <w:pPr>
        <w:spacing w:before="80"/>
      </w:pPr>
    </w:p>
    <w:p w14:paraId="62C2F671" w14:textId="77777777" w:rsidR="00B12B98" w:rsidRDefault="00ED49BD">
      <w:pPr>
        <w:pStyle w:val="Heading2"/>
      </w:pPr>
      <w:r>
        <w:t>Decision to Record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B12B98" w14:paraId="4205358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20" w:type="dxa"/>
              <w:bottom w:w="100" w:type="dxa"/>
              <w:right w:w="120" w:type="dxa"/>
            </w:tcMar>
            <w:vAlign w:val="center"/>
          </w:tcPr>
          <w:p w14:paraId="6C75363F" w14:textId="77777777" w:rsidR="00B12B98" w:rsidRDefault="00ED49BD">
            <w:pPr>
              <w:jc w:val="center"/>
            </w:pPr>
            <w:r>
              <w:rPr>
                <w:b/>
                <w:bCs/>
                <w:color w:val="FFFFFF"/>
                <w:sz w:val="18"/>
                <w:szCs w:val="18"/>
              </w:rPr>
              <w:t>DECIDE</w:t>
            </w:r>
          </w:p>
        </w:tc>
        <w:tc>
          <w:tcPr>
            <w:tcW w:w="7760" w:type="dxa"/>
            <w:tcBorders>
              <w:top w:val="single" w:sz="1" w:space="0" w:color="CCCCCC"/>
              <w:left w:val="single" w:sz="1" w:space="0" w:color="CCCCCC"/>
              <w:bottom w:val="single" w:sz="1" w:space="0" w:color="CCCCCC"/>
              <w:right w:val="single" w:sz="1" w:space="0" w:color="CCCCCC"/>
            </w:tcBorders>
            <w:shd w:val="clear" w:color="auto" w:fill="FBE5D6"/>
            <w:tcMar>
              <w:top w:w="100" w:type="dxa"/>
              <w:left w:w="160" w:type="dxa"/>
              <w:bottom w:w="100" w:type="dxa"/>
              <w:right w:w="120" w:type="dxa"/>
            </w:tcMar>
          </w:tcPr>
          <w:p w14:paraId="67AF0FFC" w14:textId="77777777" w:rsidR="00B12B98" w:rsidRDefault="00ED49BD">
            <w:r>
              <w:rPr>
                <w:b/>
                <w:bCs/>
                <w:color w:val="7B2C00"/>
              </w:rPr>
              <w:t>Where do reconciliation breaks surface (PBWH UI vs. standalone)? What is the P1 escalation path, and who is the named DRI for each attribute domain?</w:t>
            </w:r>
          </w:p>
        </w:tc>
      </w:tr>
    </w:tbl>
    <w:p w14:paraId="5CE4377D" w14:textId="77777777" w:rsidR="00B12B98" w:rsidRDefault="00B12B98">
      <w:pPr>
        <w:spacing w:before="200"/>
      </w:pPr>
    </w:p>
    <w:p w14:paraId="3A31AB60" w14:textId="77777777" w:rsidR="00B12B98" w:rsidRDefault="00ED49BD">
      <w:r>
        <w:br w:type="page"/>
      </w:r>
    </w:p>
    <w:p w14:paraId="1E884A1C" w14:textId="77777777" w:rsidR="00B12B98" w:rsidRDefault="00ED49BD">
      <w:pPr>
        <w:pStyle w:val="Heading1"/>
        <w:pBdr>
          <w:bottom w:val="single" w:sz="8" w:space="4" w:color="2E75B6"/>
        </w:pBdr>
      </w:pPr>
      <w:r>
        <w:t>Decision 7: Governance &amp; Operating Model</w:t>
      </w:r>
    </w:p>
    <w:p w14:paraId="6D8FCB8B" w14:textId="77777777" w:rsidR="00B12B98" w:rsidRDefault="00ED49BD">
      <w:pPr>
        <w:spacing w:before="80" w:after="100"/>
      </w:pPr>
      <w:r>
        <w:rPr>
          <w:i/>
          <w:iCs/>
          <w:color w:val="595959"/>
        </w:rPr>
        <w:t>The architecture can be perfect and still fail if the operating model doesn’t have teeth. These decisions are harder than the technical ones and take longer to reverse.</w:t>
      </w:r>
    </w:p>
    <w:p w14:paraId="40807640" w14:textId="77777777" w:rsidR="00B12B98" w:rsidRDefault="00B12B98">
      <w:pPr>
        <w:spacing w:before="80"/>
      </w:pPr>
    </w:p>
    <w:p w14:paraId="1B455E87" w14:textId="77777777" w:rsidR="00B12B98" w:rsidRDefault="00ED49BD">
      <w:pPr>
        <w:pStyle w:val="Heading2"/>
      </w:pPr>
      <w:r>
        <w:t>Talking Points</w:t>
      </w:r>
    </w:p>
    <w:p w14:paraId="4F481C63" w14:textId="77777777" w:rsidR="00B12B98" w:rsidRDefault="00ED49BD">
      <w:pPr>
        <w:pStyle w:val="ListParagraph"/>
        <w:numPr>
          <w:ilvl w:val="0"/>
          <w:numId w:val="2"/>
        </w:numPr>
        <w:spacing w:before="40" w:after="40"/>
      </w:pPr>
      <w:r>
        <w:rPr>
          <w:color w:val="595959"/>
        </w:rPr>
        <w:t>Asset inception workflow: who approves a new security creation, and what is the trigger? Define this end-to-end before the first feed runs in UAT.</w:t>
      </w:r>
    </w:p>
    <w:p w14:paraId="1C75D669" w14:textId="77777777" w:rsidR="00B12B98" w:rsidRDefault="00ED49BD">
      <w:pPr>
        <w:pStyle w:val="ListParagraph"/>
        <w:numPr>
          <w:ilvl w:val="0"/>
          <w:numId w:val="2"/>
        </w:numPr>
        <w:spacing w:before="40" w:after="40"/>
      </w:pPr>
      <w:r>
        <w:rPr>
          <w:color w:val="595959"/>
        </w:rPr>
        <w:t>Named Data Responsible Individuals (DRIs): every attribute domain needs a named owner, not just a team. A team name is not an escalation path; a person’s name is.</w:t>
      </w:r>
    </w:p>
    <w:p w14:paraId="6FAF48D1" w14:textId="77777777" w:rsidR="00B12B98" w:rsidRDefault="00ED49BD">
      <w:pPr>
        <w:pStyle w:val="ListParagraph"/>
        <w:numPr>
          <w:ilvl w:val="0"/>
          <w:numId w:val="2"/>
        </w:numPr>
        <w:spacing w:before="40" w:after="40"/>
      </w:pPr>
      <w:r>
        <w:rPr>
          <w:color w:val="595959"/>
        </w:rPr>
        <w:t>SEI change notification SLA: BBH must negotiate with SEI that any changes to SWP’s asset schema or processing configuration go through a BBH impact assessment before deployment. This must be a contractual commitment, not a courtesy.</w:t>
      </w:r>
    </w:p>
    <w:p w14:paraId="32896F7D" w14:textId="77777777" w:rsidR="00B12B98" w:rsidRDefault="00ED49BD">
      <w:pPr>
        <w:pStyle w:val="ListParagraph"/>
        <w:numPr>
          <w:ilvl w:val="0"/>
          <w:numId w:val="2"/>
        </w:numPr>
        <w:spacing w:before="40" w:after="40"/>
      </w:pPr>
      <w:r>
        <w:rPr>
          <w:color w:val="595959"/>
        </w:rPr>
        <w:t xml:space="preserve">T+0 asset availability: for a new security to be </w:t>
      </w:r>
      <w:proofErr w:type="spellStart"/>
      <w:r>
        <w:rPr>
          <w:color w:val="595959"/>
        </w:rPr>
        <w:t>tradeable</w:t>
      </w:r>
      <w:proofErr w:type="spellEnd"/>
      <w:r>
        <w:rPr>
          <w:color w:val="595959"/>
        </w:rPr>
        <w:t xml:space="preserve"> in SEI on the day it is created in BBH, work backward from SEI’s asset load processing windows to define the latest acceptable create time in Golden Source. This is an SLA, not just a design preference.</w:t>
      </w:r>
    </w:p>
    <w:p w14:paraId="5D86E819" w14:textId="77777777" w:rsidR="00B12B98" w:rsidRDefault="00ED49BD">
      <w:pPr>
        <w:pStyle w:val="ListParagraph"/>
        <w:numPr>
          <w:ilvl w:val="0"/>
          <w:numId w:val="2"/>
        </w:numPr>
        <w:spacing w:before="40" w:after="40"/>
      </w:pPr>
      <w:r>
        <w:rPr>
          <w:color w:val="595959"/>
        </w:rPr>
        <w:t xml:space="preserve">Ops </w:t>
      </w:r>
      <w:proofErr w:type="spellStart"/>
      <w:r>
        <w:rPr>
          <w:color w:val="595959"/>
        </w:rPr>
        <w:t>runbook</w:t>
      </w:r>
      <w:proofErr w:type="spellEnd"/>
      <w:r>
        <w:rPr>
          <w:color w:val="595959"/>
        </w:rPr>
        <w:t xml:space="preserve">: BBH ops needs a break resolution playbook before UAT begins. The </w:t>
      </w:r>
      <w:proofErr w:type="spellStart"/>
      <w:r>
        <w:rPr>
          <w:color w:val="595959"/>
        </w:rPr>
        <w:t>runbook</w:t>
      </w:r>
      <w:proofErr w:type="spellEnd"/>
      <w:r>
        <w:rPr>
          <w:color w:val="595959"/>
        </w:rPr>
        <w:t xml:space="preserve"> should cover P1 through P3 scenarios, the BBH-wins conflict resolution rule, and the escalation path to SEI’s integration team.</w:t>
      </w:r>
    </w:p>
    <w:p w14:paraId="1B82F12F" w14:textId="77777777" w:rsidR="00B12B98" w:rsidRDefault="00B12B98">
      <w:pPr>
        <w:spacing w:before="80"/>
      </w:pPr>
    </w:p>
    <w:p w14:paraId="096B5359" w14:textId="77777777" w:rsidR="00B12B98" w:rsidRDefault="00ED49BD">
      <w:pPr>
        <w:pStyle w:val="Heading2"/>
      </w:pPr>
      <w:r>
        <w:t>Decision to Record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B12B98" w14:paraId="108372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20" w:type="dxa"/>
              <w:bottom w:w="100" w:type="dxa"/>
              <w:right w:w="120" w:type="dxa"/>
            </w:tcMar>
            <w:vAlign w:val="center"/>
          </w:tcPr>
          <w:p w14:paraId="75692471" w14:textId="77777777" w:rsidR="00B12B98" w:rsidRDefault="00ED49BD">
            <w:pPr>
              <w:jc w:val="center"/>
            </w:pPr>
            <w:r>
              <w:rPr>
                <w:b/>
                <w:bCs/>
                <w:color w:val="FFFFFF"/>
                <w:sz w:val="18"/>
                <w:szCs w:val="18"/>
              </w:rPr>
              <w:t>DECIDE</w:t>
            </w:r>
          </w:p>
        </w:tc>
        <w:tc>
          <w:tcPr>
            <w:tcW w:w="7760" w:type="dxa"/>
            <w:tcBorders>
              <w:top w:val="single" w:sz="1" w:space="0" w:color="CCCCCC"/>
              <w:left w:val="single" w:sz="1" w:space="0" w:color="CCCCCC"/>
              <w:bottom w:val="single" w:sz="1" w:space="0" w:color="CCCCCC"/>
              <w:right w:val="single" w:sz="1" w:space="0" w:color="CCCCCC"/>
            </w:tcBorders>
            <w:shd w:val="clear" w:color="auto" w:fill="FBE5D6"/>
            <w:tcMar>
              <w:top w:w="100" w:type="dxa"/>
              <w:left w:w="160" w:type="dxa"/>
              <w:bottom w:w="100" w:type="dxa"/>
              <w:right w:w="120" w:type="dxa"/>
            </w:tcMar>
          </w:tcPr>
          <w:p w14:paraId="5DA7FC35" w14:textId="77777777" w:rsidR="00B12B98" w:rsidRDefault="00ED49BD">
            <w:r>
              <w:rPr>
                <w:b/>
                <w:bCs/>
                <w:color w:val="7B2C00"/>
              </w:rPr>
              <w:t>Assign named DRIs per attribute domain. Lock the T+0 asset availability SLA. Commit SEI to a change notification process as a contractual term.</w:t>
            </w:r>
          </w:p>
        </w:tc>
      </w:tr>
    </w:tbl>
    <w:p w14:paraId="1DCD160F" w14:textId="77777777" w:rsidR="00B12B98" w:rsidRDefault="00B12B98">
      <w:pPr>
        <w:spacing w:before="200"/>
      </w:pPr>
    </w:p>
    <w:p w14:paraId="5FD40AB3" w14:textId="77777777" w:rsidR="00B12B98" w:rsidRDefault="00ED49BD">
      <w:pPr>
        <w:pStyle w:val="Heading1"/>
        <w:pBdr>
          <w:bottom w:val="single" w:sz="8" w:space="4" w:color="2E75B6"/>
        </w:pBdr>
      </w:pPr>
      <w:r>
        <w:t>Pre-Start Checklist: Decisions in Priority Order</w:t>
      </w:r>
    </w:p>
    <w:p w14:paraId="64AB5948" w14:textId="77777777" w:rsidR="00B12B98" w:rsidRDefault="00ED49BD">
      <w:pPr>
        <w:spacing w:before="80" w:after="100"/>
      </w:pPr>
      <w:r>
        <w:rPr>
          <w:i/>
          <w:iCs/>
          <w:color w:val="595959"/>
        </w:rPr>
        <w:t>These seven decisions should be made and recorded before any integration design work begins. The first two are blockers for everything else.</w:t>
      </w:r>
    </w:p>
    <w:p w14:paraId="1C8CFA59" w14:textId="77777777" w:rsidR="00B12B98" w:rsidRDefault="00B12B98">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4460"/>
        <w:gridCol w:w="2400"/>
      </w:tblGrid>
      <w:tr w:rsidR="00B12B98" w14:paraId="663C717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6CDDFB" w14:textId="77777777" w:rsidR="00B12B98" w:rsidRDefault="00ED49BD">
            <w:pPr>
              <w:jc w:val="center"/>
            </w:pPr>
            <w:r>
              <w:rPr>
                <w:b/>
                <w:bCs/>
                <w:color w:val="FFFFFF"/>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8CC21F" w14:textId="77777777" w:rsidR="00B12B98" w:rsidRDefault="00ED49BD">
            <w:r>
              <w:rPr>
                <w:b/>
                <w:bCs/>
                <w:color w:val="FFFFFF"/>
                <w:sz w:val="19"/>
                <w:szCs w:val="19"/>
              </w:rPr>
              <w:t>Decision Area</w:t>
            </w:r>
          </w:p>
        </w:tc>
        <w:tc>
          <w:tcPr>
            <w:tcW w:w="4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FFF43A" w14:textId="77777777" w:rsidR="00B12B98" w:rsidRDefault="00ED49BD">
            <w:r>
              <w:rPr>
                <w:b/>
                <w:bCs/>
                <w:color w:val="FFFFFF"/>
                <w:sz w:val="19"/>
                <w:szCs w:val="19"/>
              </w:rPr>
              <w:t>Key Question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495486" w14:textId="77777777" w:rsidR="00B12B98" w:rsidRDefault="00ED49BD">
            <w:r>
              <w:rPr>
                <w:b/>
                <w:bCs/>
                <w:color w:val="FFFFFF"/>
                <w:sz w:val="19"/>
                <w:szCs w:val="19"/>
              </w:rPr>
              <w:t>Blocking?</w:t>
            </w:r>
          </w:p>
        </w:tc>
      </w:tr>
      <w:tr w:rsidR="00B12B98" w14:paraId="0D39FD7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9EBCD" w14:textId="77777777" w:rsidR="00B12B98" w:rsidRDefault="00ED49BD">
            <w:pPr>
              <w:jc w:val="center"/>
            </w:pPr>
            <w:r>
              <w:rPr>
                <w:b/>
                <w:bCs/>
                <w:color w:val="1F4E79"/>
                <w:sz w:val="19"/>
                <w:szCs w:val="19"/>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7DDD5" w14:textId="77777777" w:rsidR="00B12B98" w:rsidRDefault="00ED49BD">
            <w:r>
              <w:rPr>
                <w:b/>
                <w:bCs/>
                <w:color w:val="1F4E79"/>
                <w:sz w:val="19"/>
                <w:szCs w:val="19"/>
              </w:rPr>
              <w:t>Identifier Authority</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45FD5D" w14:textId="77777777" w:rsidR="00B12B98" w:rsidRDefault="00ED49BD">
            <w:r>
              <w:rPr>
                <w:color w:val="595959"/>
                <w:sz w:val="19"/>
                <w:szCs w:val="19"/>
              </w:rPr>
              <w:t>Who mints the primary asset key? Where does XREF live?</w:t>
            </w:r>
          </w:p>
        </w:tc>
        <w:tc>
          <w:tcPr>
            <w:tcW w:w="2400" w:type="dxa"/>
            <w:tcBorders>
              <w:top w:val="single" w:sz="1" w:space="0" w:color="CCCCCC"/>
              <w:left w:val="single" w:sz="1" w:space="0" w:color="CCCCCC"/>
              <w:bottom w:val="single" w:sz="1" w:space="0" w:color="CCCCCC"/>
              <w:right w:val="single" w:sz="1" w:space="0" w:color="CCCCCC"/>
            </w:tcBorders>
            <w:shd w:val="clear" w:color="auto" w:fill="FBE5D6"/>
            <w:tcMar>
              <w:top w:w="80" w:type="dxa"/>
              <w:left w:w="120" w:type="dxa"/>
              <w:bottom w:w="80" w:type="dxa"/>
              <w:right w:w="120" w:type="dxa"/>
            </w:tcMar>
          </w:tcPr>
          <w:p w14:paraId="1815891E" w14:textId="77777777" w:rsidR="00B12B98" w:rsidRDefault="00ED49BD">
            <w:r>
              <w:rPr>
                <w:b/>
                <w:bCs/>
                <w:color w:val="7B2C00"/>
                <w:sz w:val="18"/>
                <w:szCs w:val="18"/>
              </w:rPr>
              <w:t>BLOCKER — prerequisite for all feed design</w:t>
            </w:r>
          </w:p>
        </w:tc>
      </w:tr>
      <w:tr w:rsidR="00B12B98" w14:paraId="5045AD4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CD371" w14:textId="77777777" w:rsidR="00B12B98" w:rsidRDefault="00ED49BD">
            <w:pPr>
              <w:jc w:val="center"/>
            </w:pPr>
            <w:r>
              <w:rPr>
                <w:b/>
                <w:bCs/>
                <w:color w:val="1F4E79"/>
                <w:sz w:val="19"/>
                <w:szCs w:val="19"/>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85798" w14:textId="77777777" w:rsidR="00B12B98" w:rsidRDefault="00ED49BD">
            <w:r>
              <w:rPr>
                <w:b/>
                <w:bCs/>
                <w:color w:val="1F4E79"/>
                <w:sz w:val="19"/>
                <w:szCs w:val="19"/>
              </w:rPr>
              <w:t>Attribute Ownership Matrix</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5416E" w14:textId="77777777" w:rsidR="00B12B98" w:rsidRDefault="00ED49BD">
            <w:r>
              <w:rPr>
                <w:color w:val="595959"/>
                <w:sz w:val="19"/>
                <w:szCs w:val="19"/>
              </w:rPr>
              <w:t>Who owns each attribute? Which SEI UI fields need locks?</w:t>
            </w:r>
          </w:p>
        </w:tc>
        <w:tc>
          <w:tcPr>
            <w:tcW w:w="2400" w:type="dxa"/>
            <w:tcBorders>
              <w:top w:val="single" w:sz="1" w:space="0" w:color="CCCCCC"/>
              <w:left w:val="single" w:sz="1" w:space="0" w:color="CCCCCC"/>
              <w:bottom w:val="single" w:sz="1" w:space="0" w:color="CCCCCC"/>
              <w:right w:val="single" w:sz="1" w:space="0" w:color="CCCCCC"/>
            </w:tcBorders>
            <w:shd w:val="clear" w:color="auto" w:fill="FBE5D6"/>
            <w:tcMar>
              <w:top w:w="80" w:type="dxa"/>
              <w:left w:w="120" w:type="dxa"/>
              <w:bottom w:w="80" w:type="dxa"/>
              <w:right w:w="120" w:type="dxa"/>
            </w:tcMar>
          </w:tcPr>
          <w:p w14:paraId="4C7C1BDC" w14:textId="77777777" w:rsidR="00B12B98" w:rsidRDefault="00ED49BD">
            <w:r>
              <w:rPr>
                <w:b/>
                <w:bCs/>
                <w:color w:val="7B2C00"/>
                <w:sz w:val="18"/>
                <w:szCs w:val="18"/>
              </w:rPr>
              <w:t>BLOCKER — prerequisite for feed and recon design</w:t>
            </w:r>
          </w:p>
        </w:tc>
      </w:tr>
      <w:tr w:rsidR="00B12B98" w14:paraId="522382C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34EB" w14:textId="77777777" w:rsidR="00B12B98" w:rsidRDefault="00ED49BD">
            <w:pPr>
              <w:jc w:val="center"/>
            </w:pPr>
            <w:r>
              <w:rPr>
                <w:b/>
                <w:bCs/>
                <w:color w:val="1F4E79"/>
                <w:sz w:val="19"/>
                <w:szCs w:val="19"/>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9BD0B8" w14:textId="77777777" w:rsidR="00B12B98" w:rsidRDefault="00ED49BD">
            <w:r>
              <w:rPr>
                <w:b/>
                <w:bCs/>
                <w:color w:val="1F4E79"/>
                <w:sz w:val="19"/>
                <w:szCs w:val="19"/>
              </w:rPr>
              <w:t>SMA-Specific Schema</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A30946" w14:textId="77777777" w:rsidR="00B12B98" w:rsidRDefault="00ED49BD">
            <w:r>
              <w:rPr>
                <w:color w:val="595959"/>
                <w:sz w:val="19"/>
                <w:szCs w:val="19"/>
              </w:rPr>
              <w:t>How are sleeve overlays, restrictions, proxies modeled and owned?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A78198" w14:textId="77777777" w:rsidR="00B12B98" w:rsidRDefault="00ED49BD">
            <w:r>
              <w:rPr>
                <w:color w:val="595959"/>
                <w:sz w:val="18"/>
                <w:szCs w:val="18"/>
              </w:rPr>
              <w:t>Required before SMA account onboarding</w:t>
            </w:r>
          </w:p>
        </w:tc>
      </w:tr>
      <w:tr w:rsidR="00B12B98" w14:paraId="47273B0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CEEF9" w14:textId="77777777" w:rsidR="00B12B98" w:rsidRDefault="00ED49BD">
            <w:pPr>
              <w:jc w:val="center"/>
            </w:pPr>
            <w:r>
              <w:rPr>
                <w:b/>
                <w:bCs/>
                <w:color w:val="1F4E79"/>
                <w:sz w:val="19"/>
                <w:szCs w:val="19"/>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8A8C4" w14:textId="77777777" w:rsidR="00B12B98" w:rsidRDefault="00ED49BD">
            <w:r>
              <w:rPr>
                <w:b/>
                <w:bCs/>
                <w:color w:val="1F4E79"/>
                <w:sz w:val="19"/>
                <w:szCs w:val="19"/>
              </w:rPr>
              <w:t>Feed Architecture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F26AC" w14:textId="77777777" w:rsidR="00B12B98" w:rsidRDefault="00ED49BD">
            <w:r>
              <w:rPr>
                <w:color w:val="595959"/>
                <w:sz w:val="19"/>
                <w:szCs w:val="19"/>
              </w:rPr>
              <w:t>Frequency, delta strategy, SEI API contract, feedback queue design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B4231" w14:textId="77777777" w:rsidR="00B12B98" w:rsidRDefault="00ED49BD">
            <w:r>
              <w:rPr>
                <w:color w:val="595959"/>
                <w:sz w:val="18"/>
                <w:szCs w:val="18"/>
              </w:rPr>
              <w:t>Required before integration build</w:t>
            </w:r>
          </w:p>
        </w:tc>
      </w:tr>
      <w:tr w:rsidR="00B12B98" w14:paraId="48075FA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0F49BD" w14:textId="77777777" w:rsidR="00B12B98" w:rsidRDefault="00ED49BD">
            <w:pPr>
              <w:jc w:val="center"/>
            </w:pPr>
            <w:r>
              <w:rPr>
                <w:b/>
                <w:bCs/>
                <w:color w:val="1F4E79"/>
                <w:sz w:val="19"/>
                <w:szCs w:val="19"/>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8CB03A" w14:textId="77777777" w:rsidR="00B12B98" w:rsidRDefault="00ED49BD">
            <w:r>
              <w:rPr>
                <w:b/>
                <w:bCs/>
                <w:color w:val="1F4E79"/>
                <w:sz w:val="19"/>
                <w:szCs w:val="19"/>
              </w:rPr>
              <w:t>Schema Translation Registry</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516F5F" w14:textId="77777777" w:rsidR="00B12B98" w:rsidRDefault="00ED49BD">
            <w:r>
              <w:rPr>
                <w:color w:val="595959"/>
                <w:sz w:val="19"/>
                <w:szCs w:val="19"/>
              </w:rPr>
              <w:t>Where do mapping contracts live? Who owns enumeration updates?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2A623B" w14:textId="77777777" w:rsidR="00B12B98" w:rsidRDefault="00ED49BD">
            <w:r>
              <w:rPr>
                <w:color w:val="595959"/>
                <w:sz w:val="18"/>
                <w:szCs w:val="18"/>
              </w:rPr>
              <w:t>Required before first feed run</w:t>
            </w:r>
          </w:p>
        </w:tc>
      </w:tr>
      <w:tr w:rsidR="00B12B98" w14:paraId="4A42DA9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D6B00" w14:textId="77777777" w:rsidR="00B12B98" w:rsidRDefault="00ED49BD">
            <w:pPr>
              <w:jc w:val="center"/>
            </w:pPr>
            <w:r>
              <w:rPr>
                <w:b/>
                <w:bCs/>
                <w:color w:val="1F4E79"/>
                <w:sz w:val="19"/>
                <w:szCs w:val="19"/>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EB6F6" w14:textId="77777777" w:rsidR="00B12B98" w:rsidRDefault="00ED49BD">
            <w:r>
              <w:rPr>
                <w:b/>
                <w:bCs/>
                <w:color w:val="1F4E79"/>
                <w:sz w:val="19"/>
                <w:szCs w:val="19"/>
              </w:rPr>
              <w:t>Reconciliation Framework</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E0503" w14:textId="77777777" w:rsidR="00B12B98" w:rsidRDefault="00ED49BD">
            <w:r>
              <w:rPr>
                <w:color w:val="595959"/>
                <w:sz w:val="19"/>
                <w:szCs w:val="19"/>
              </w:rPr>
              <w:t>P1–P3 tiers, break surfacing, BBH-wins rule, DRIs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3117F" w14:textId="77777777" w:rsidR="00B12B98" w:rsidRDefault="00ED49BD">
            <w:r>
              <w:rPr>
                <w:color w:val="595959"/>
                <w:sz w:val="18"/>
                <w:szCs w:val="18"/>
              </w:rPr>
              <w:t>Required before UAT</w:t>
            </w:r>
          </w:p>
        </w:tc>
      </w:tr>
      <w:tr w:rsidR="00B12B98" w14:paraId="5896332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918E5" w14:textId="77777777" w:rsidR="00B12B98" w:rsidRDefault="00ED49BD">
            <w:pPr>
              <w:jc w:val="center"/>
            </w:pPr>
            <w:r>
              <w:rPr>
                <w:b/>
                <w:bCs/>
                <w:color w:val="1F4E79"/>
                <w:sz w:val="19"/>
                <w:szCs w:val="19"/>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CCBF98" w14:textId="77777777" w:rsidR="00B12B98" w:rsidRDefault="00ED49BD">
            <w:r>
              <w:rPr>
                <w:b/>
                <w:bCs/>
                <w:color w:val="1F4E79"/>
                <w:sz w:val="19"/>
                <w:szCs w:val="19"/>
              </w:rPr>
              <w:t>Operating Model</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DED8C1" w14:textId="77777777" w:rsidR="00B12B98" w:rsidRDefault="00ED49BD">
            <w:r>
              <w:rPr>
                <w:color w:val="595959"/>
                <w:sz w:val="19"/>
                <w:szCs w:val="19"/>
              </w:rPr>
              <w:t xml:space="preserve">DRIs, T+0 SLA, SEI change notification SLA, ops </w:t>
            </w:r>
            <w:proofErr w:type="spellStart"/>
            <w:r>
              <w:rPr>
                <w:color w:val="595959"/>
                <w:sz w:val="19"/>
                <w:szCs w:val="19"/>
              </w:rPr>
              <w:t>runbook</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2E26DF" w14:textId="77777777" w:rsidR="00B12B98" w:rsidRDefault="00ED49BD">
            <w:r>
              <w:rPr>
                <w:color w:val="595959"/>
                <w:sz w:val="18"/>
                <w:szCs w:val="18"/>
              </w:rPr>
              <w:t>Required before UAT</w:t>
            </w:r>
          </w:p>
        </w:tc>
      </w:tr>
    </w:tbl>
    <w:p w14:paraId="1534EF21" w14:textId="77777777" w:rsidR="00B12B98" w:rsidRDefault="00B12B98">
      <w:pPr>
        <w:spacing w:before="2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2B98" w14:paraId="357A00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2AC692EA" w14:textId="77777777" w:rsidR="00B12B98" w:rsidRDefault="00ED49BD">
            <w:r>
              <w:rPr>
                <w:b/>
                <w:bCs/>
                <w:color w:val="1F4E79"/>
                <w:sz w:val="21"/>
                <w:szCs w:val="21"/>
              </w:rPr>
              <w:t>A Note on Governance vs. Architecture</w:t>
            </w:r>
          </w:p>
          <w:p w14:paraId="1EFEF141" w14:textId="77777777" w:rsidR="00B12B98" w:rsidRDefault="00ED49BD">
            <w:pPr>
              <w:spacing w:before="60"/>
            </w:pPr>
            <w:r>
              <w:rPr>
                <w:i/>
                <w:iCs/>
                <w:color w:val="595959"/>
              </w:rPr>
              <w:t>The biggest risk in this pattern is soft coupling creep — situations where SEI becomes a de facto editor of BBH-owned data because the governance model was not enforced operationally. The architecture can be perfect and still fail if there are no teeth to the ownership rules. Prioritize the operating model and DRI assignments as highly as the technical feed design.</w:t>
            </w:r>
          </w:p>
        </w:tc>
      </w:tr>
    </w:tbl>
    <w:p w14:paraId="247A2581" w14:textId="77777777" w:rsidR="00ED49BD" w:rsidRDefault="00ED49BD"/>
    <w:sectPr w:rsidR="00000000">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C12CD" w14:textId="77777777" w:rsidR="00ED49BD" w:rsidRDefault="00ED49BD">
      <w:r>
        <w:separator/>
      </w:r>
    </w:p>
  </w:endnote>
  <w:endnote w:type="continuationSeparator" w:id="0">
    <w:p w14:paraId="043D4575" w14:textId="77777777" w:rsidR="00ED49BD" w:rsidRDefault="00ED4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69899" w14:textId="77777777" w:rsidR="00B12B98" w:rsidRDefault="00ED49BD">
    <w:pPr>
      <w:pBdr>
        <w:top w:val="single" w:sz="4" w:space="4" w:color="CCCCCC"/>
      </w:pBdr>
      <w:tabs>
        <w:tab w:val="right" w:pos="9026"/>
      </w:tabs>
    </w:pPr>
    <w:r>
      <w:rPr>
        <w:color w:val="595959"/>
        <w:sz w:val="16"/>
        <w:szCs w:val="16"/>
      </w:rPr>
      <w:t>CONFIDENTIAL — Internal Use Only</w:t>
    </w:r>
    <w:r>
      <w:rPr>
        <w:color w:val="595959"/>
        <w:sz w:val="16"/>
        <w:szCs w:val="16"/>
      </w:rPr>
      <w:tab/>
      <w:t xml:space="preserve">Page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52126" w14:textId="77777777" w:rsidR="00ED49BD" w:rsidRDefault="00ED49BD">
      <w:r>
        <w:separator/>
      </w:r>
    </w:p>
  </w:footnote>
  <w:footnote w:type="continuationSeparator" w:id="0">
    <w:p w14:paraId="668519E4" w14:textId="77777777" w:rsidR="00ED49BD" w:rsidRDefault="00ED49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5CB3" w14:textId="77777777" w:rsidR="00B12B98" w:rsidRDefault="00ED49BD">
    <w:pPr>
      <w:pBdr>
        <w:bottom w:val="single" w:sz="6" w:space="4" w:color="2E75B6"/>
      </w:pBdr>
    </w:pPr>
    <w:r>
      <w:rPr>
        <w:b/>
        <w:bCs/>
        <w:color w:val="2E75B6"/>
        <w:sz w:val="18"/>
        <w:szCs w:val="18"/>
      </w:rPr>
      <w:t>BBH • SWP Migration</w:t>
    </w:r>
    <w:r>
      <w:rPr>
        <w:color w:val="595959"/>
        <w:sz w:val="18"/>
        <w:szCs w:val="18"/>
      </w:rPr>
      <w:t xml:space="preserve">     Asset Schema Management — Decision Talking Points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5700"/>
    <w:multiLevelType w:val="hybridMultilevel"/>
    <w:tmpl w:val="FFFFFFFF"/>
    <w:lvl w:ilvl="0" w:tplc="C78C0112">
      <w:start w:val="1"/>
      <w:numFmt w:val="bullet"/>
      <w:lvlText w:val="◦"/>
      <w:lvlJc w:val="left"/>
      <w:pPr>
        <w:ind w:left="1000" w:hanging="300"/>
      </w:pPr>
    </w:lvl>
    <w:lvl w:ilvl="1" w:tplc="8654DC62">
      <w:numFmt w:val="decimal"/>
      <w:lvlText w:val=""/>
      <w:lvlJc w:val="left"/>
    </w:lvl>
    <w:lvl w:ilvl="2" w:tplc="1876B6B4">
      <w:numFmt w:val="decimal"/>
      <w:lvlText w:val=""/>
      <w:lvlJc w:val="left"/>
    </w:lvl>
    <w:lvl w:ilvl="3" w:tplc="9F864E24">
      <w:numFmt w:val="decimal"/>
      <w:lvlText w:val=""/>
      <w:lvlJc w:val="left"/>
    </w:lvl>
    <w:lvl w:ilvl="4" w:tplc="0B342880">
      <w:numFmt w:val="decimal"/>
      <w:lvlText w:val=""/>
      <w:lvlJc w:val="left"/>
    </w:lvl>
    <w:lvl w:ilvl="5" w:tplc="028E779C">
      <w:numFmt w:val="decimal"/>
      <w:lvlText w:val=""/>
      <w:lvlJc w:val="left"/>
    </w:lvl>
    <w:lvl w:ilvl="6" w:tplc="0B8A2DA0">
      <w:numFmt w:val="decimal"/>
      <w:lvlText w:val=""/>
      <w:lvlJc w:val="left"/>
    </w:lvl>
    <w:lvl w:ilvl="7" w:tplc="A40E52F4">
      <w:numFmt w:val="decimal"/>
      <w:lvlText w:val=""/>
      <w:lvlJc w:val="left"/>
    </w:lvl>
    <w:lvl w:ilvl="8" w:tplc="B974057A">
      <w:numFmt w:val="decimal"/>
      <w:lvlText w:val=""/>
      <w:lvlJc w:val="left"/>
    </w:lvl>
  </w:abstractNum>
  <w:abstractNum w:abstractNumId="1" w15:restartNumberingAfterBreak="0">
    <w:nsid w:val="0C746893"/>
    <w:multiLevelType w:val="hybridMultilevel"/>
    <w:tmpl w:val="FFFFFFFF"/>
    <w:lvl w:ilvl="0" w:tplc="383811D6">
      <w:start w:val="1"/>
      <w:numFmt w:val="bullet"/>
      <w:lvlText w:val="•"/>
      <w:lvlJc w:val="left"/>
      <w:pPr>
        <w:ind w:left="600" w:hanging="300"/>
      </w:pPr>
    </w:lvl>
    <w:lvl w:ilvl="1" w:tplc="A8F2D996">
      <w:numFmt w:val="decimal"/>
      <w:lvlText w:val=""/>
      <w:lvlJc w:val="left"/>
    </w:lvl>
    <w:lvl w:ilvl="2" w:tplc="ED8C9DCC">
      <w:numFmt w:val="decimal"/>
      <w:lvlText w:val=""/>
      <w:lvlJc w:val="left"/>
    </w:lvl>
    <w:lvl w:ilvl="3" w:tplc="0B60DCEE">
      <w:numFmt w:val="decimal"/>
      <w:lvlText w:val=""/>
      <w:lvlJc w:val="left"/>
    </w:lvl>
    <w:lvl w:ilvl="4" w:tplc="54D87B56">
      <w:numFmt w:val="decimal"/>
      <w:lvlText w:val=""/>
      <w:lvlJc w:val="left"/>
    </w:lvl>
    <w:lvl w:ilvl="5" w:tplc="F89887FA">
      <w:numFmt w:val="decimal"/>
      <w:lvlText w:val=""/>
      <w:lvlJc w:val="left"/>
    </w:lvl>
    <w:lvl w:ilvl="6" w:tplc="FDD8D0A4">
      <w:numFmt w:val="decimal"/>
      <w:lvlText w:val=""/>
      <w:lvlJc w:val="left"/>
    </w:lvl>
    <w:lvl w:ilvl="7" w:tplc="C02AC1CA">
      <w:numFmt w:val="decimal"/>
      <w:lvlText w:val=""/>
      <w:lvlJc w:val="left"/>
    </w:lvl>
    <w:lvl w:ilvl="8" w:tplc="EE2E1128">
      <w:numFmt w:val="decimal"/>
      <w:lvlText w:val=""/>
      <w:lvlJc w:val="left"/>
    </w:lvl>
  </w:abstractNum>
  <w:abstractNum w:abstractNumId="2" w15:restartNumberingAfterBreak="0">
    <w:nsid w:val="44441E35"/>
    <w:multiLevelType w:val="hybridMultilevel"/>
    <w:tmpl w:val="FFFFFFFF"/>
    <w:lvl w:ilvl="0" w:tplc="41BE7508">
      <w:start w:val="1"/>
      <w:numFmt w:val="bullet"/>
      <w:lvlText w:val="●"/>
      <w:lvlJc w:val="left"/>
      <w:pPr>
        <w:ind w:left="720" w:hanging="360"/>
      </w:pPr>
    </w:lvl>
    <w:lvl w:ilvl="1" w:tplc="3E94386A">
      <w:start w:val="1"/>
      <w:numFmt w:val="bullet"/>
      <w:lvlText w:val="○"/>
      <w:lvlJc w:val="left"/>
      <w:pPr>
        <w:ind w:left="1440" w:hanging="360"/>
      </w:pPr>
    </w:lvl>
    <w:lvl w:ilvl="2" w:tplc="A60A80B2">
      <w:start w:val="1"/>
      <w:numFmt w:val="bullet"/>
      <w:lvlText w:val="■"/>
      <w:lvlJc w:val="left"/>
      <w:pPr>
        <w:ind w:left="2160" w:hanging="360"/>
      </w:pPr>
    </w:lvl>
    <w:lvl w:ilvl="3" w:tplc="C0563FFA">
      <w:start w:val="1"/>
      <w:numFmt w:val="bullet"/>
      <w:lvlText w:val="●"/>
      <w:lvlJc w:val="left"/>
      <w:pPr>
        <w:ind w:left="2880" w:hanging="360"/>
      </w:pPr>
    </w:lvl>
    <w:lvl w:ilvl="4" w:tplc="A78EA008">
      <w:start w:val="1"/>
      <w:numFmt w:val="bullet"/>
      <w:lvlText w:val="○"/>
      <w:lvlJc w:val="left"/>
      <w:pPr>
        <w:ind w:left="3600" w:hanging="360"/>
      </w:pPr>
    </w:lvl>
    <w:lvl w:ilvl="5" w:tplc="C5C837E8">
      <w:start w:val="1"/>
      <w:numFmt w:val="bullet"/>
      <w:lvlText w:val="■"/>
      <w:lvlJc w:val="left"/>
      <w:pPr>
        <w:ind w:left="4320" w:hanging="360"/>
      </w:pPr>
    </w:lvl>
    <w:lvl w:ilvl="6" w:tplc="4D065CF4">
      <w:start w:val="1"/>
      <w:numFmt w:val="bullet"/>
      <w:lvlText w:val="●"/>
      <w:lvlJc w:val="left"/>
      <w:pPr>
        <w:ind w:left="5040" w:hanging="360"/>
      </w:pPr>
    </w:lvl>
    <w:lvl w:ilvl="7" w:tplc="9552FFF4">
      <w:start w:val="1"/>
      <w:numFmt w:val="bullet"/>
      <w:lvlText w:val="●"/>
      <w:lvlJc w:val="left"/>
      <w:pPr>
        <w:ind w:left="5760" w:hanging="360"/>
      </w:pPr>
    </w:lvl>
    <w:lvl w:ilvl="8" w:tplc="BF4EC82A">
      <w:start w:val="1"/>
      <w:numFmt w:val="bullet"/>
      <w:lvlText w:val="●"/>
      <w:lvlJc w:val="left"/>
      <w:pPr>
        <w:ind w:left="6480" w:hanging="360"/>
      </w:pPr>
    </w:lvl>
  </w:abstractNum>
  <w:abstractNum w:abstractNumId="3" w15:restartNumberingAfterBreak="0">
    <w:nsid w:val="53E002E6"/>
    <w:multiLevelType w:val="hybridMultilevel"/>
    <w:tmpl w:val="FFFFFFFF"/>
    <w:lvl w:ilvl="0" w:tplc="BEB82EAE">
      <w:start w:val="1"/>
      <w:numFmt w:val="decimal"/>
      <w:lvlText w:val="%1."/>
      <w:lvlJc w:val="left"/>
      <w:pPr>
        <w:ind w:left="600" w:hanging="300"/>
      </w:pPr>
    </w:lvl>
    <w:lvl w:ilvl="1" w:tplc="52389D4A">
      <w:numFmt w:val="decimal"/>
      <w:lvlText w:val=""/>
      <w:lvlJc w:val="left"/>
    </w:lvl>
    <w:lvl w:ilvl="2" w:tplc="CE8ED4D6">
      <w:numFmt w:val="decimal"/>
      <w:lvlText w:val=""/>
      <w:lvlJc w:val="left"/>
    </w:lvl>
    <w:lvl w:ilvl="3" w:tplc="CC1844E6">
      <w:numFmt w:val="decimal"/>
      <w:lvlText w:val=""/>
      <w:lvlJc w:val="left"/>
    </w:lvl>
    <w:lvl w:ilvl="4" w:tplc="9350052A">
      <w:numFmt w:val="decimal"/>
      <w:lvlText w:val=""/>
      <w:lvlJc w:val="left"/>
    </w:lvl>
    <w:lvl w:ilvl="5" w:tplc="7AFC8C3E">
      <w:numFmt w:val="decimal"/>
      <w:lvlText w:val=""/>
      <w:lvlJc w:val="left"/>
    </w:lvl>
    <w:lvl w:ilvl="6" w:tplc="CE788CFA">
      <w:numFmt w:val="decimal"/>
      <w:lvlText w:val=""/>
      <w:lvlJc w:val="left"/>
    </w:lvl>
    <w:lvl w:ilvl="7" w:tplc="EB8E6F82">
      <w:numFmt w:val="decimal"/>
      <w:lvlText w:val=""/>
      <w:lvlJc w:val="left"/>
    </w:lvl>
    <w:lvl w:ilvl="8" w:tplc="63C605FE">
      <w:numFmt w:val="decimal"/>
      <w:lvlText w:val=""/>
      <w:lvlJc w:val="left"/>
    </w:lvl>
  </w:abstractNum>
  <w:num w:numId="1" w16cid:durableId="560792641">
    <w:abstractNumId w:val="2"/>
    <w:lvlOverride w:ilvl="0">
      <w:startOverride w:val="1"/>
    </w:lvlOverride>
  </w:num>
  <w:num w:numId="2" w16cid:durableId="1013652608">
    <w:abstractNumId w:val="1"/>
    <w:lvlOverride w:ilvl="0">
      <w:startOverride w:val="1"/>
    </w:lvlOverride>
  </w:num>
  <w:num w:numId="3" w16cid:durableId="1936745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B98"/>
    <w:rsid w:val="006C4FA2"/>
    <w:rsid w:val="00B12B98"/>
    <w:rsid w:val="00ED4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A7E32F"/>
  <w15:docId w15:val="{DBC05101-44F3-E74B-AF9B-48935F3E7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1982</Words>
  <Characters>11301</Characters>
  <Application>Microsoft Office Word</Application>
  <DocSecurity>0</DocSecurity>
  <Lines>94</Lines>
  <Paragraphs>26</Paragraphs>
  <ScaleCrop>false</ScaleCrop>
  <Company/>
  <LinksUpToDate>false</LinksUpToDate>
  <CharactersWithSpaces>13257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 Nair</cp:lastModifiedBy>
  <cp:revision>2</cp:revision>
  <dcterms:created xsi:type="dcterms:W3CDTF">2026-03-10T14:08:00Z</dcterms:created>
  <dcterms:modified xsi:type="dcterms:W3CDTF">2026-03-10T14:08:00Z</dcterms:modified>
</cp:coreProperties>
</file>