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1F650E" w:rsidRDefault="00000000">
      <w:pPr>
        <w:spacing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Welcome to the World Sleep 2025 Abstract Submission System</w:t>
      </w:r>
      <w:r>
        <w:rPr>
          <w:rFonts w:ascii="Times New Roman" w:eastAsia="Times New Roman" w:hAnsi="Times New Roman" w:cs="Times New Roman"/>
        </w:rPr>
        <w:br/>
        <w:t>Please review the guidelines below before completing your submission:</w:t>
      </w:r>
    </w:p>
    <w:p w14:paraId="00000002" w14:textId="77777777" w:rsidR="001F650E" w:rsidRDefault="00000000">
      <w:pPr>
        <w:numPr>
          <w:ilvl w:val="0"/>
          <w:numId w:val="1"/>
        </w:numPr>
        <w:spacing w:before="280"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Maximum 500 words</w:t>
      </w:r>
    </w:p>
    <w:p w14:paraId="00000003" w14:textId="77777777" w:rsidR="001F650E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Required sections: Introduction, Materials and Methods, Results, Conclusions</w:t>
      </w:r>
    </w:p>
    <w:p w14:paraId="00000004" w14:textId="77777777" w:rsidR="001F650E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No figures, tables, or references within the abstract</w:t>
      </w:r>
    </w:p>
    <w:p w14:paraId="00000005" w14:textId="77777777" w:rsidR="001F650E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Submission deadline: July 1, 2025</w:t>
      </w:r>
    </w:p>
    <w:p w14:paraId="00000006" w14:textId="77777777" w:rsidR="001F650E" w:rsidRDefault="00000000">
      <w:pPr>
        <w:numPr>
          <w:ilvl w:val="0"/>
          <w:numId w:val="1"/>
        </w:numPr>
        <w:spacing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For assistance, contact abstracts@worldsleep.org</w:t>
      </w:r>
    </w:p>
    <w:p w14:paraId="00000007" w14:textId="77777777" w:rsidR="001F650E" w:rsidRDefault="00000000">
      <w:pPr>
        <w:spacing w:before="280"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Title:</w:t>
      </w:r>
      <w:r>
        <w:rPr>
          <w:rFonts w:ascii="Times New Roman" w:eastAsia="Times New Roman" w:hAnsi="Times New Roman" w:cs="Times New Roman"/>
        </w:rPr>
        <w:t xml:space="preserve"> Descriptive Analysis of Post-Apneic Blood Pressure Surges in Sleep Apnea Events</w:t>
      </w:r>
    </w:p>
    <w:p w14:paraId="00000008" w14:textId="77777777" w:rsidR="001F650E" w:rsidRDefault="00000000">
      <w:pPr>
        <w:spacing w:before="280"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Authors:</w:t>
      </w:r>
      <w:r>
        <w:rPr>
          <w:rFonts w:ascii="Times New Roman" w:eastAsia="Times New Roman" w:hAnsi="Times New Roman" w:cs="Times New Roman"/>
        </w:rPr>
        <w:t xml:space="preserve"> Aneesh K Sajan</w:t>
      </w:r>
    </w:p>
    <w:p w14:paraId="00000009" w14:textId="77777777" w:rsidR="001F650E" w:rsidRDefault="00000000">
      <w:pPr>
        <w:spacing w:before="280"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Affiliations:</w:t>
      </w:r>
      <w:r>
        <w:rPr>
          <w:rFonts w:ascii="Times New Roman" w:eastAsia="Times New Roman" w:hAnsi="Times New Roman" w:cs="Times New Roman"/>
        </w:rPr>
        <w:t xml:space="preserve"> Independent</w:t>
      </w:r>
    </w:p>
    <w:p w14:paraId="0000000A" w14:textId="77777777" w:rsidR="001F650E" w:rsidRDefault="00000000">
      <w:pPr>
        <w:spacing w:before="280"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Contact Author:</w:t>
      </w:r>
    </w:p>
    <w:p w14:paraId="0000000B" w14:textId="77777777" w:rsidR="001F650E" w:rsidRDefault="00EC0525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noProof/>
        </w:rPr>
        <w:pict w14:anchorId="5B19628E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03F0D569" w14:textId="77777777" w:rsidR="001148FE" w:rsidRDefault="001148FE" w:rsidP="001148FE">
      <w:pPr>
        <w:pStyle w:val="NormalWeb"/>
      </w:pPr>
      <w:r w:rsidRPr="001148FE">
        <w:rPr>
          <w:b/>
          <w:bCs/>
        </w:rPr>
        <w:t xml:space="preserve">Introduction (Background): </w:t>
      </w:r>
      <w:r>
        <w:t>Transient systolic blood pressure (SBP) surges, peripheral oxygen desaturations (SpO₂), and heart rate (HR) changes following obstructive apnea and hypopnea contribute to nocturnal hypertension and cardiovascular risk. While SBP rebound patterns have been characterized, post-event SpO₂ and HR recovery profiles across different baseline conditions remain under-explored.</w:t>
      </w:r>
    </w:p>
    <w:p w14:paraId="0000000D" w14:textId="040E76D6" w:rsidR="001F650E" w:rsidRDefault="00000000">
      <w:pPr>
        <w:spacing w:before="280"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Materials and Methods:</w:t>
      </w:r>
      <w:sdt>
        <w:sdtPr>
          <w:tag w:val="goog_rdk_0"/>
          <w:id w:val="603554677"/>
        </w:sdtPr>
        <w:sdtContent>
          <w:r>
            <w:rPr>
              <w:rFonts w:ascii="Caudex" w:eastAsia="Caudex" w:hAnsi="Caudex" w:cs="Caudex"/>
            </w:rPr>
            <w:t xml:space="preserve"> Prospective analysis of 3,164 apnea/hypopnea events recorded in 24 adults. We excluded events missing both SpO₂ and SBP measurements </w:t>
          </w:r>
          <w:proofErr w:type="gramStart"/>
          <w:r>
            <w:rPr>
              <w:rFonts w:ascii="Caudex" w:eastAsia="Caudex" w:hAnsi="Caudex" w:cs="Caudex"/>
            </w:rPr>
            <w:t>and also</w:t>
          </w:r>
          <w:proofErr w:type="gramEnd"/>
          <w:r>
            <w:rPr>
              <w:rFonts w:ascii="Caudex" w:eastAsia="Caudex" w:hAnsi="Caudex" w:cs="Caudex"/>
            </w:rPr>
            <w:t xml:space="preserve"> removed apnea events occurring less than 10 seconds apart, leaving 2,086 </w:t>
          </w:r>
          <w:r w:rsidR="002B501E">
            <w:rPr>
              <w:rFonts w:ascii="Caudex" w:eastAsia="Caudex" w:hAnsi="Caudex" w:cs="Caudex"/>
            </w:rPr>
            <w:t xml:space="preserve">apnea </w:t>
          </w:r>
          <w:r>
            <w:rPr>
              <w:rFonts w:ascii="Caudex" w:eastAsia="Caudex" w:hAnsi="Caudex" w:cs="Caudex"/>
            </w:rPr>
            <w:t>events for analysis. Events were categorized by type (obstructive apnea vs. hypopnea), pre-event SpO₂ band (≥ 95 %, 90–95 %, &lt; 90 %), duration (&lt; 10 s, 10–20 s, ≥ 20 s), sleep stage, and body position. SBP change was defined as the difference between mean SBP 10 s before event onset and peak SBP during event plus first 10 s post-event. Changes were binned as drop (≤ –1 mmHg), modest rise (1–10 mmHg), or large rise (&gt; 10 mmHg). Descriptive statistics and subgroup comparisons were performed.</w:t>
          </w:r>
        </w:sdtContent>
      </w:sdt>
    </w:p>
    <w:p w14:paraId="3B1BA7A0" w14:textId="696602E3" w:rsidR="008D5B44" w:rsidRPr="008D5B44" w:rsidRDefault="00000000" w:rsidP="008D5B44">
      <w:pPr>
        <w:spacing w:before="280"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Results:</w:t>
      </w:r>
      <w:r>
        <w:rPr>
          <w:rFonts w:ascii="Times New Roman" w:eastAsia="Times New Roman" w:hAnsi="Times New Roman" w:cs="Times New Roman"/>
        </w:rPr>
        <w:br/>
      </w:r>
      <w:r w:rsidR="008D5B44" w:rsidRPr="008D5B44">
        <w:rPr>
          <w:rStyle w:val="Strong"/>
          <w:b w:val="0"/>
          <w:bCs w:val="0"/>
        </w:rPr>
        <w:t>SBP:</w:t>
      </w:r>
      <w:r w:rsidR="008D5B44" w:rsidRPr="008D5B44">
        <w:t xml:space="preserve"> Drop ≤0 mmHg; Modest rise 0–10 mmHg; Large rise &gt;10 mmHg</w:t>
      </w:r>
      <w:r w:rsidR="008D5B44" w:rsidRPr="008D5B44">
        <w:br/>
      </w:r>
      <w:r w:rsidR="008D5B44" w:rsidRPr="008D5B44">
        <w:rPr>
          <w:rStyle w:val="Strong"/>
          <w:b w:val="0"/>
          <w:bCs w:val="0"/>
        </w:rPr>
        <w:t>SpO₂:</w:t>
      </w:r>
      <w:r w:rsidR="008D5B44" w:rsidRPr="008D5B44">
        <w:t xml:space="preserve"> Large drop ≥20 units; Modest drop 10–20 units; Rise</w:t>
      </w:r>
      <w:r w:rsidR="008D5B44" w:rsidRPr="008D5B44">
        <w:br/>
      </w:r>
      <w:r w:rsidR="008D5B44" w:rsidRPr="008D5B44">
        <w:rPr>
          <w:rStyle w:val="Strong"/>
          <w:b w:val="0"/>
          <w:bCs w:val="0"/>
        </w:rPr>
        <w:t>Heart Rate (HR):</w:t>
      </w:r>
      <w:r w:rsidR="008D5B44" w:rsidRPr="008D5B44">
        <w:t xml:space="preserve"> Any rise ≥0 bpm; Modest rise ≥10 bpm; Large rise ≥20 bpm</w:t>
      </w:r>
    </w:p>
    <w:p w14:paraId="2DBF0529" w14:textId="77777777" w:rsidR="008D5B44" w:rsidRDefault="008D5B44" w:rsidP="008D5B44">
      <w:pPr>
        <w:pStyle w:val="NormalWeb"/>
      </w:pPr>
    </w:p>
    <w:p w14:paraId="1E5A08C4" w14:textId="77777777" w:rsidR="00B260D9" w:rsidRDefault="00B260D9" w:rsidP="008D5B44">
      <w:pPr>
        <w:pStyle w:val="NormalWeb"/>
      </w:pPr>
    </w:p>
    <w:p w14:paraId="654AABA0" w14:textId="77777777" w:rsidR="008D5B44" w:rsidRDefault="008D5B44">
      <w:pPr>
        <w:spacing w:before="280" w:after="280" w:line="240" w:lineRule="auto"/>
        <w:rPr>
          <w:rFonts w:ascii="Times New Roman" w:eastAsia="Times New Roman" w:hAnsi="Times New Roman" w:cs="Times New Roman"/>
          <w:b/>
        </w:rPr>
      </w:pPr>
    </w:p>
    <w:p w14:paraId="0000000F" w14:textId="3802FA57" w:rsidR="001F650E" w:rsidRDefault="00000000">
      <w:pPr>
        <w:spacing w:before="280"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>Overall SBP Response</w:t>
      </w:r>
    </w:p>
    <w:p w14:paraId="00000010" w14:textId="77777777" w:rsidR="001F650E" w:rsidRDefault="00000000">
      <w:pPr>
        <w:spacing w:before="280"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Overall SBP Response (n = 2,086)</w:t>
      </w:r>
    </w:p>
    <w:p w14:paraId="00000011" w14:textId="77777777" w:rsidR="001F650E" w:rsidRDefault="00000000">
      <w:pPr>
        <w:numPr>
          <w:ilvl w:val="0"/>
          <w:numId w:val="2"/>
        </w:numPr>
        <w:spacing w:before="280"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Drop: 336 events (16.1 %)</w:t>
      </w:r>
    </w:p>
    <w:p w14:paraId="00000012" w14:textId="77777777" w:rsidR="001F650E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Modest rise: 1,315 events (63.1 %)</w:t>
      </w:r>
    </w:p>
    <w:p w14:paraId="00000013" w14:textId="77777777" w:rsidR="001F650E" w:rsidRDefault="00000000">
      <w:pPr>
        <w:numPr>
          <w:ilvl w:val="0"/>
          <w:numId w:val="2"/>
        </w:numPr>
        <w:spacing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Large rise: 435 events (20.8 %)</w:t>
      </w:r>
    </w:p>
    <w:p w14:paraId="00000014" w14:textId="77777777" w:rsidR="001F650E" w:rsidRDefault="00000000">
      <w:pPr>
        <w:spacing w:before="280"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SBP by Event Type (n = 2,086)</w:t>
      </w:r>
    </w:p>
    <w:p w14:paraId="00000015" w14:textId="77777777" w:rsidR="001F650E" w:rsidRDefault="00000000">
      <w:pPr>
        <w:numPr>
          <w:ilvl w:val="0"/>
          <w:numId w:val="3"/>
        </w:numPr>
        <w:spacing w:before="280"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Hypopneas (n = 802): drop 125 (15.6 %), modest rise 503 (62.7 %), large rise 174 (21.7 %)</w:t>
      </w:r>
    </w:p>
    <w:p w14:paraId="00000016" w14:textId="77777777" w:rsidR="001F650E" w:rsidRDefault="00000000">
      <w:pPr>
        <w:numPr>
          <w:ilvl w:val="0"/>
          <w:numId w:val="3"/>
        </w:numPr>
        <w:spacing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Obstructive apneas (n = 1 284): drop 211 (16.4 %), modest rise 812 (63.3 %), large rise 261 (20.3 %)</w:t>
      </w:r>
    </w:p>
    <w:p w14:paraId="00000017" w14:textId="77777777" w:rsidR="001F650E" w:rsidRDefault="00000000">
      <w:pPr>
        <w:spacing w:before="280"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SBP by Pre-event SpO₂ (n = 2,086)</w:t>
      </w:r>
    </w:p>
    <w:p w14:paraId="00000018" w14:textId="77777777" w:rsidR="001F650E" w:rsidRDefault="00000000">
      <w:pPr>
        <w:numPr>
          <w:ilvl w:val="0"/>
          <w:numId w:val="4"/>
        </w:numPr>
        <w:spacing w:before="280" w:after="0" w:line="240" w:lineRule="auto"/>
        <w:rPr>
          <w:rFonts w:ascii="Times New Roman" w:eastAsia="Times New Roman" w:hAnsi="Times New Roman" w:cs="Times New Roman"/>
        </w:rPr>
      </w:pPr>
      <w:sdt>
        <w:sdtPr>
          <w:tag w:val="goog_rdk_2"/>
          <w:id w:val="1031299188"/>
        </w:sdtPr>
        <w:sdtContent>
          <w:r>
            <w:rPr>
              <w:rFonts w:ascii="Gungsuh" w:eastAsia="Gungsuh" w:hAnsi="Gungsuh" w:cs="Gungsuh"/>
            </w:rPr>
            <w:t>≥ 95 % (n = 358): drop 44 (12.3 %), modest rise 225 (62.9 %), large rise 89 (24.9 %)</w:t>
          </w:r>
        </w:sdtContent>
      </w:sdt>
    </w:p>
    <w:p w14:paraId="00000019" w14:textId="77777777" w:rsidR="001F650E" w:rsidRDefault="0000000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90–95 % (n = 1 146): drop 152 (13.3 %), modest rise 734 (64.1 %), large rise 260 (22.7 %)</w:t>
      </w:r>
    </w:p>
    <w:p w14:paraId="0000001A" w14:textId="77777777" w:rsidR="001F650E" w:rsidRDefault="00000000">
      <w:pPr>
        <w:numPr>
          <w:ilvl w:val="0"/>
          <w:numId w:val="4"/>
        </w:numPr>
        <w:spacing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&lt; 90 % (n = 582): drop 140 (24.1 %), modest rise 356 (61.2 %), large rise 86 (14.8 %)</w:t>
      </w:r>
    </w:p>
    <w:p w14:paraId="0000001B" w14:textId="77777777" w:rsidR="001F650E" w:rsidRDefault="00000000">
      <w:pPr>
        <w:spacing w:before="280"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SBP by Apnea Event Duration (n = 2,086)</w:t>
      </w:r>
    </w:p>
    <w:p w14:paraId="0000001C" w14:textId="77777777" w:rsidR="001F650E" w:rsidRDefault="00000000">
      <w:pPr>
        <w:numPr>
          <w:ilvl w:val="0"/>
          <w:numId w:val="5"/>
        </w:numPr>
        <w:spacing w:before="280"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10–20 s (n = 705): drop 125 (17.7 %), modest rise 444 (63.0 %), large rise 136 (19.3 %)</w:t>
      </w:r>
    </w:p>
    <w:p w14:paraId="0000001D" w14:textId="77777777" w:rsidR="001F650E" w:rsidRDefault="00000000">
      <w:pPr>
        <w:numPr>
          <w:ilvl w:val="0"/>
          <w:numId w:val="5"/>
        </w:numPr>
        <w:spacing w:after="280" w:line="240" w:lineRule="auto"/>
        <w:rPr>
          <w:rFonts w:ascii="Times New Roman" w:eastAsia="Times New Roman" w:hAnsi="Times New Roman" w:cs="Times New Roman"/>
        </w:rPr>
      </w:pPr>
      <w:sdt>
        <w:sdtPr>
          <w:tag w:val="goog_rdk_3"/>
          <w:id w:val="-1448653368"/>
        </w:sdtPr>
        <w:sdtContent>
          <w:r>
            <w:rPr>
              <w:rFonts w:ascii="Gungsuh" w:eastAsia="Gungsuh" w:hAnsi="Gungsuh" w:cs="Gungsuh"/>
            </w:rPr>
            <w:t>≥ 20 s (n = 1 381): drop 211 (15.3 %), modest rise 871 (63.1 %), large rise 299 (21.6 %)</w:t>
          </w:r>
        </w:sdtContent>
      </w:sdt>
    </w:p>
    <w:p w14:paraId="0000001E" w14:textId="77777777" w:rsidR="001F650E" w:rsidRDefault="00000000">
      <w:pPr>
        <w:spacing w:before="280"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SBP by Sleep Stage (n = 2,086)</w:t>
      </w:r>
    </w:p>
    <w:p w14:paraId="0000001F" w14:textId="77777777" w:rsidR="001F650E" w:rsidRDefault="00000000">
      <w:pPr>
        <w:numPr>
          <w:ilvl w:val="0"/>
          <w:numId w:val="6"/>
        </w:numPr>
        <w:spacing w:before="280"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Movement (n = 2): drop 2 (100.0 %), modest rise 0 (0.0 %), large rise 0 (0.0 %)</w:t>
      </w:r>
    </w:p>
    <w:p w14:paraId="00000020" w14:textId="77777777" w:rsidR="001F650E" w:rsidRDefault="0000000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REM (n = 105): drop 21 (20.0 %), modest rise 63 (60.0 %), large rise 21 (20.0 %)</w:t>
      </w:r>
    </w:p>
    <w:p w14:paraId="00000021" w14:textId="77777777" w:rsidR="001F650E" w:rsidRDefault="0000000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Stage 1 (n = 128): drop 15 (11.7 %), modest rise 87 (67.9 %), large rise 26 (20.3 %)</w:t>
      </w:r>
    </w:p>
    <w:p w14:paraId="00000022" w14:textId="77777777" w:rsidR="001F650E" w:rsidRDefault="0000000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Stage 2 (n = 1 310): drop 215 (16.4 %), modest rise 819 (62.5 %), large rise 276 (21.1 %)</w:t>
      </w:r>
    </w:p>
    <w:p w14:paraId="00000023" w14:textId="77777777" w:rsidR="001F650E" w:rsidRDefault="0000000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Stage 3 (n = 128): drop 19 (14.8 %), modest rise 82 (64.1 %), large rise 27 (21.1 %)</w:t>
      </w:r>
    </w:p>
    <w:p w14:paraId="00000024" w14:textId="77777777" w:rsidR="001F650E" w:rsidRDefault="0000000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Stage 4 (n = 178): drop 32 (18.0 %), modest rise 108 (60.7 %), large rise 38 (21.3 %)</w:t>
      </w:r>
    </w:p>
    <w:p w14:paraId="00000025" w14:textId="77777777" w:rsidR="001F650E" w:rsidRDefault="00000000">
      <w:pPr>
        <w:numPr>
          <w:ilvl w:val="0"/>
          <w:numId w:val="6"/>
        </w:numPr>
        <w:spacing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Wake (n = 235): drop 34 (14.5 %), modest rise 154 (65.5 %), large rise 47 (20.0 %)</w:t>
      </w:r>
    </w:p>
    <w:p w14:paraId="00000026" w14:textId="77777777" w:rsidR="001F650E" w:rsidRDefault="00000000">
      <w:pPr>
        <w:spacing w:before="280"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SBP by Body Position (n = 2,086)</w:t>
      </w:r>
    </w:p>
    <w:p w14:paraId="00000027" w14:textId="77777777" w:rsidR="001F650E" w:rsidRDefault="00000000">
      <w:pPr>
        <w:numPr>
          <w:ilvl w:val="0"/>
          <w:numId w:val="7"/>
        </w:numPr>
        <w:spacing w:before="280"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Left (n = 278): drop 45 (16.2 %), modest rise 184 (66.2 %), large rise 49 (17.6 %)</w:t>
      </w:r>
    </w:p>
    <w:p w14:paraId="00000028" w14:textId="77777777" w:rsidR="001F650E" w:rsidRDefault="00000000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Prone (n = 3): drop 1 (33.3 %), modest rise 2 (66.7 %), large rise 0 (0.0 %)</w:t>
      </w:r>
    </w:p>
    <w:p w14:paraId="00000029" w14:textId="77777777" w:rsidR="001F650E" w:rsidRDefault="00000000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Right (n = 232): drop 38 (16.4 %), modest rise 134 (57.8 %), large rise 60 (25.9 %)</w:t>
      </w:r>
    </w:p>
    <w:p w14:paraId="0000002A" w14:textId="77777777" w:rsidR="001F650E" w:rsidRDefault="00000000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Supine (n = 1,543): drop 250 (16.2 %), modest rise 969 (62.8 %), large rise 324 (21.0 %)</w:t>
      </w:r>
    </w:p>
    <w:p w14:paraId="0000002B" w14:textId="77777777" w:rsidR="001F650E" w:rsidRDefault="00000000">
      <w:pPr>
        <w:numPr>
          <w:ilvl w:val="0"/>
          <w:numId w:val="7"/>
        </w:numPr>
        <w:spacing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Upright (n = 30): drop 2 (6.7 %), modest rise 26 (86.7 %), large rise 2 (6.7 %)</w:t>
      </w:r>
    </w:p>
    <w:p w14:paraId="7DB4BC36" w14:textId="77777777" w:rsidR="003556EA" w:rsidRDefault="003556EA" w:rsidP="003556EA">
      <w:pPr>
        <w:spacing w:after="280" w:line="240" w:lineRule="auto"/>
        <w:rPr>
          <w:rFonts w:ascii="Times New Roman" w:eastAsia="Times New Roman" w:hAnsi="Times New Roman" w:cs="Times New Roman"/>
        </w:rPr>
      </w:pPr>
    </w:p>
    <w:p w14:paraId="0147C3E7" w14:textId="1D352F34" w:rsidR="003556EA" w:rsidRPr="003556EA" w:rsidRDefault="003556EA" w:rsidP="003556EA">
      <w:pPr>
        <w:spacing w:after="280" w:line="240" w:lineRule="auto"/>
        <w:rPr>
          <w:b/>
          <w:bCs/>
        </w:rPr>
      </w:pPr>
      <w:r w:rsidRPr="003556EA">
        <w:rPr>
          <w:b/>
          <w:bCs/>
        </w:rPr>
        <w:t>Post-event SpO₂ Drop by Baseline Saturation</w:t>
      </w:r>
      <w:r w:rsidRPr="003556EA">
        <w:rPr>
          <w:rFonts w:ascii="Times New Roman" w:eastAsia="Times New Roman" w:hAnsi="Times New Roman" w:cs="Times New Roman"/>
          <w:b/>
          <w:bCs/>
        </w:rPr>
        <w:t xml:space="preserve"> (n = 2,086)</w:t>
      </w:r>
    </w:p>
    <w:p w14:paraId="66828995" w14:textId="778289DD" w:rsidR="003556EA" w:rsidRDefault="003556EA" w:rsidP="003556EA">
      <w:pPr>
        <w:pStyle w:val="NormalWeb"/>
        <w:numPr>
          <w:ilvl w:val="0"/>
          <w:numId w:val="8"/>
        </w:numPr>
      </w:pPr>
      <w:r>
        <w:t xml:space="preserve">Baseline SpO₂ &lt; </w:t>
      </w:r>
      <w:proofErr w:type="gramStart"/>
      <w:r>
        <w:t>90  (</w:t>
      </w:r>
      <w:proofErr w:type="gramEnd"/>
      <w:r>
        <w:t>n = 582): ≥20 % drop in 14 (2.4 %), 0–20 % drop in 387 (66.5 %), increase in 181 (31.1 %)</w:t>
      </w:r>
    </w:p>
    <w:p w14:paraId="38E4F6DD" w14:textId="65EFCDC2" w:rsidR="003556EA" w:rsidRDefault="003556EA" w:rsidP="003556EA">
      <w:pPr>
        <w:pStyle w:val="NormalWeb"/>
        <w:numPr>
          <w:ilvl w:val="0"/>
          <w:numId w:val="8"/>
        </w:numPr>
      </w:pPr>
      <w:r>
        <w:t>Baseline SpO₂ 95–</w:t>
      </w:r>
      <w:proofErr w:type="gramStart"/>
      <w:r>
        <w:t>90  (</w:t>
      </w:r>
      <w:proofErr w:type="gramEnd"/>
      <w:r>
        <w:t>n = 1,146): ≥20 % drop in 18 (1.6 %), 0–20 % drop in 867 (75.7 %), increase in 259 (22.6 %), unspecified in 2 (0.2 %)</w:t>
      </w:r>
    </w:p>
    <w:p w14:paraId="42DF5F0A" w14:textId="3BB569A9" w:rsidR="003556EA" w:rsidRDefault="003556EA" w:rsidP="003556EA">
      <w:pPr>
        <w:pStyle w:val="NormalWeb"/>
        <w:numPr>
          <w:ilvl w:val="0"/>
          <w:numId w:val="8"/>
        </w:numPr>
      </w:pPr>
      <w:r>
        <w:t>Baseline SpO₂ ≥ 95  (n = 358): ≥20 % drop in 3 (0.8 %), 0–20 % drop in 304 (84.9 %), increase in 51 (14.2 %)</w:t>
      </w:r>
    </w:p>
    <w:p w14:paraId="5E635609" w14:textId="77777777" w:rsidR="003556EA" w:rsidRDefault="003556EA" w:rsidP="003556EA">
      <w:pPr>
        <w:spacing w:after="280" w:line="240" w:lineRule="auto"/>
        <w:rPr>
          <w:rFonts w:ascii="Times New Roman" w:eastAsia="Times New Roman" w:hAnsi="Times New Roman" w:cs="Times New Roman"/>
        </w:rPr>
      </w:pPr>
    </w:p>
    <w:p w14:paraId="7E165BC5" w14:textId="77777777" w:rsidR="005A4318" w:rsidRPr="005A4318" w:rsidRDefault="005A4318" w:rsidP="005A4318">
      <w:pPr>
        <w:pStyle w:val="NormalWeb"/>
        <w:rPr>
          <w:b/>
          <w:bCs/>
        </w:rPr>
      </w:pPr>
      <w:r w:rsidRPr="005A4318">
        <w:rPr>
          <w:b/>
          <w:bCs/>
        </w:rPr>
        <w:t>Post-event SBP Response by Pre-event SBP Category (n = 2,086)</w:t>
      </w:r>
    </w:p>
    <w:p w14:paraId="3ACB8436" w14:textId="77777777" w:rsidR="005A4318" w:rsidRDefault="005A4318" w:rsidP="005A4318">
      <w:pPr>
        <w:pStyle w:val="NormalWeb"/>
        <w:numPr>
          <w:ilvl w:val="0"/>
          <w:numId w:val="9"/>
        </w:numPr>
      </w:pPr>
      <w:r>
        <w:t>Hypertension (≥140 mmHg) (n = 560): drop 100 (17.9 %), modest rise 318 (56.8 %), large rise 142 (25.4 %)</w:t>
      </w:r>
    </w:p>
    <w:p w14:paraId="2C9BD7D2" w14:textId="77777777" w:rsidR="005A4318" w:rsidRDefault="005A4318" w:rsidP="005A4318">
      <w:pPr>
        <w:pStyle w:val="NormalWeb"/>
        <w:numPr>
          <w:ilvl w:val="0"/>
          <w:numId w:val="9"/>
        </w:numPr>
      </w:pPr>
      <w:r>
        <w:t>Hypotension (&lt;90 mmHg) (n = 112): drop 0 (0.0 %), modest rise 20 (17.9 %), large rise 92 (82.1 %)</w:t>
      </w:r>
    </w:p>
    <w:p w14:paraId="71B362B6" w14:textId="77777777" w:rsidR="005A4318" w:rsidRDefault="005A4318" w:rsidP="005A4318">
      <w:pPr>
        <w:pStyle w:val="NormalWeb"/>
        <w:numPr>
          <w:ilvl w:val="0"/>
          <w:numId w:val="9"/>
        </w:numPr>
      </w:pPr>
      <w:r>
        <w:t>Normal (90–139 mmHg) (n = 1,396): drop 234 (16.8 %), modest rise 966 (69.2 %), large rise 196 (14.0 %)</w:t>
      </w:r>
    </w:p>
    <w:p w14:paraId="136180A4" w14:textId="4D136B3C" w:rsidR="005A4318" w:rsidRDefault="005A4318" w:rsidP="00DD0282">
      <w:pPr>
        <w:pStyle w:val="NormalWeb"/>
        <w:numPr>
          <w:ilvl w:val="0"/>
          <w:numId w:val="9"/>
        </w:numPr>
      </w:pPr>
      <w:r>
        <w:t>Others (n = 18): drop 2 (11.1 %), modest rise 11 (61.1 %), large rise 5 (27.8 %)</w:t>
      </w:r>
    </w:p>
    <w:p w14:paraId="563634B6" w14:textId="77777777" w:rsidR="0058730D" w:rsidRPr="00DD0282" w:rsidRDefault="0058730D" w:rsidP="00E927FE">
      <w:pPr>
        <w:pStyle w:val="NormalWeb"/>
        <w:ind w:left="720"/>
      </w:pPr>
    </w:p>
    <w:p w14:paraId="5C8A3957" w14:textId="77777777" w:rsidR="00194966" w:rsidRPr="00194966" w:rsidRDefault="00194966" w:rsidP="00194966">
      <w:pPr>
        <w:pStyle w:val="NormalWeb"/>
        <w:rPr>
          <w:b/>
          <w:bCs/>
        </w:rPr>
      </w:pPr>
      <w:r w:rsidRPr="00194966">
        <w:rPr>
          <w:b/>
          <w:bCs/>
        </w:rPr>
        <w:t>Post-event Heart Rate Increase by Baseline Category (n = 2,086)</w:t>
      </w:r>
    </w:p>
    <w:p w14:paraId="3DC6AB67" w14:textId="77777777" w:rsidR="00194966" w:rsidRDefault="00194966" w:rsidP="00194966">
      <w:pPr>
        <w:pStyle w:val="NormalWeb"/>
        <w:numPr>
          <w:ilvl w:val="0"/>
          <w:numId w:val="10"/>
        </w:numPr>
      </w:pPr>
      <w:r>
        <w:t>Bradycardia (&lt; 60 bpm) (n = 404): increase ≥ 0 bpm in 180 (44.6 %), ≥ 10 bpm in 149 (36.9 %), ≥ 20 bpm in 75 (18.6 %)</w:t>
      </w:r>
    </w:p>
    <w:p w14:paraId="09AA5E5F" w14:textId="77777777" w:rsidR="00194966" w:rsidRDefault="00194966" w:rsidP="00194966">
      <w:pPr>
        <w:pStyle w:val="NormalWeb"/>
        <w:numPr>
          <w:ilvl w:val="0"/>
          <w:numId w:val="10"/>
        </w:numPr>
      </w:pPr>
      <w:r>
        <w:t>High Normal (80–100 bpm) (n = 327): increase ≥ 0 bpm in 178 (54.4 %), ≥ 10 bpm in 134 (41.0 %), ≥ 20 bpm in 15 (4.6 %)</w:t>
      </w:r>
    </w:p>
    <w:p w14:paraId="67F30EB8" w14:textId="77777777" w:rsidR="00194966" w:rsidRDefault="00194966" w:rsidP="00194966">
      <w:pPr>
        <w:pStyle w:val="NormalWeb"/>
        <w:numPr>
          <w:ilvl w:val="0"/>
          <w:numId w:val="10"/>
        </w:numPr>
      </w:pPr>
      <w:r>
        <w:t>Low Normal (60–69 bpm) (n = 771): increase ≥ 0 bpm in 408 (52.9 %), ≥ 10 bpm in 316 (41.0 %), ≥ 20 bpm in 47 (6.1 %)</w:t>
      </w:r>
    </w:p>
    <w:p w14:paraId="72888920" w14:textId="77777777" w:rsidR="00194966" w:rsidRDefault="00194966" w:rsidP="00194966">
      <w:pPr>
        <w:pStyle w:val="NormalWeb"/>
        <w:numPr>
          <w:ilvl w:val="0"/>
          <w:numId w:val="10"/>
        </w:numPr>
      </w:pPr>
      <w:r>
        <w:t>Mid Normal (70–79 bpm) (n = 447): increase ≥ 0 bpm in 267 (59.7 %), ≥ 10 bpm in 150 (33.6 %), ≥ 20 bpm in 30 (6.7 %)</w:t>
      </w:r>
    </w:p>
    <w:p w14:paraId="7B017A1F" w14:textId="77777777" w:rsidR="00194966" w:rsidRDefault="00194966" w:rsidP="00194966">
      <w:pPr>
        <w:pStyle w:val="NormalWeb"/>
        <w:numPr>
          <w:ilvl w:val="0"/>
          <w:numId w:val="10"/>
        </w:numPr>
      </w:pPr>
      <w:r>
        <w:t>Tachycardia (&gt; 100 bpm) (n = 29): increase ≥ 0 bpm in 25 (86.2 %), ≥ 10 bpm in 4 (13.8 %), ≥ 20 bpm in 0 (0.0 %)</w:t>
      </w:r>
    </w:p>
    <w:p w14:paraId="301E0399" w14:textId="1D5B1F4E" w:rsidR="005F7566" w:rsidRPr="00194966" w:rsidRDefault="00194966" w:rsidP="00194966">
      <w:pPr>
        <w:pStyle w:val="NormalWeb"/>
        <w:numPr>
          <w:ilvl w:val="0"/>
          <w:numId w:val="10"/>
        </w:numPr>
      </w:pPr>
      <w:r>
        <w:t>Unknown (n = 108): increase ≥ 0 bpm in 66 (61.1 %), ≥ 10 bpm in 38 (35.2 %), ≥ 20 bpm in 4 (3.7 %)</w:t>
      </w:r>
    </w:p>
    <w:p w14:paraId="7C49F45F" w14:textId="77777777" w:rsidR="005504F5" w:rsidRDefault="005504F5">
      <w:pPr>
        <w:spacing w:before="280" w:after="280" w:line="240" w:lineRule="auto"/>
        <w:rPr>
          <w:rFonts w:ascii="Times New Roman" w:eastAsia="Times New Roman" w:hAnsi="Times New Roman" w:cs="Times New Roman"/>
          <w:b/>
        </w:rPr>
      </w:pPr>
    </w:p>
    <w:p w14:paraId="0000002D" w14:textId="682F5E85" w:rsidR="001F650E" w:rsidRDefault="00000000">
      <w:pPr>
        <w:spacing w:before="280"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Conclusions:</w:t>
      </w:r>
      <w:r>
        <w:rPr>
          <w:rFonts w:ascii="Times New Roman" w:eastAsia="Times New Roman" w:hAnsi="Times New Roman" w:cs="Times New Roman"/>
        </w:rPr>
        <w:t xml:space="preserve"> Our findings demonstrate that significant SBP surges persist even when SpO₂ and SBP recovery begin. Notably, right lateral sleep position and Stage 4 deep sleep are associated with the highest rates of post‐apneic SBP surges. These insights underscore the importance of real‐time SBP–SpO₂ monitoring and tailored interventions—particularly during right lateral </w:t>
      </w:r>
      <w:r>
        <w:rPr>
          <w:rFonts w:ascii="Times New Roman" w:eastAsia="Times New Roman" w:hAnsi="Times New Roman" w:cs="Times New Roman"/>
        </w:rPr>
        <w:lastRenderedPageBreak/>
        <w:t>positioning and deep sleep—to mitigate nocturnal blood pressure excursions and reduce cardiovascular risk in patients with sleep‐disordered breathing.</w:t>
      </w:r>
    </w:p>
    <w:p w14:paraId="0000002F" w14:textId="77777777" w:rsidR="001F650E" w:rsidRDefault="001F650E"/>
    <w:sectPr w:rsidR="001F650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9F510ABF-64C3-E148-B1D7-15365C4E067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E7B0590B-3BBF-4043-9A4F-AFE4C8D012FB}"/>
    <w:embedBold r:id="rId3" w:fontKey="{A0BED7EA-1A34-DA4F-80D9-B050EF3D6B43}"/>
    <w:embedItalic r:id="rId4" w:fontKey="{DAD7DC85-DEC8-E04E-82B2-ED36069FA3B0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8A304B86-88E7-084F-AA23-2BAEC26A3F26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D7784C2C-BFD4-1842-A8FC-FAE7613EA2B0}"/>
  </w:font>
  <w:font w:name="Noto Sans Symbols">
    <w:altName w:val="Calibri"/>
    <w:charset w:val="00"/>
    <w:family w:val="auto"/>
    <w:pitch w:val="default"/>
    <w:embedRegular r:id="rId7" w:fontKey="{417722DE-132F-5E46-8335-56267430CF4B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8" w:fontKey="{5CECB57D-4F1A-8040-89B4-550A98BA7F38}"/>
    <w:embedBold r:id="rId9" w:fontKey="{651AB58C-B9C2-FB49-800F-EAE3C39F3885}"/>
    <w:embedItalic r:id="rId10" w:fontKey="{5AFC901D-5DC2-D94F-A73E-873E1BA36ED8}"/>
  </w:font>
  <w:font w:name="Play">
    <w:charset w:val="00"/>
    <w:family w:val="auto"/>
    <w:pitch w:val="default"/>
    <w:embedRegular r:id="rId11" w:fontKey="{E3BFAD58-DCFD-E744-907D-33747292796C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2" w:fontKey="{A3A5EA54-73A3-9946-A490-FF5B3A07BA69}"/>
  </w:font>
  <w:font w:name="Caudex">
    <w:altName w:val="Calibri"/>
    <w:charset w:val="00"/>
    <w:family w:val="auto"/>
    <w:pitch w:val="default"/>
    <w:embedRegular r:id="rId13" w:fontKey="{39F02C91-09F4-DB44-9CCB-C0A61278E509}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  <w:embedRegular r:id="rId14" w:subsetted="1" w:fontKey="{CF656684-B1AB-384A-B426-19B261C8B94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309A9"/>
    <w:multiLevelType w:val="multilevel"/>
    <w:tmpl w:val="A2B47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1128A4"/>
    <w:multiLevelType w:val="multilevel"/>
    <w:tmpl w:val="948082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ABE6B3E"/>
    <w:multiLevelType w:val="multilevel"/>
    <w:tmpl w:val="E9D8B7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FBC4501"/>
    <w:multiLevelType w:val="multilevel"/>
    <w:tmpl w:val="DB18C3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46475DA3"/>
    <w:multiLevelType w:val="multilevel"/>
    <w:tmpl w:val="0A3AB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1338DD"/>
    <w:multiLevelType w:val="multilevel"/>
    <w:tmpl w:val="7BFE4E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5DC80837"/>
    <w:multiLevelType w:val="multilevel"/>
    <w:tmpl w:val="CCAEA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DC2DB5"/>
    <w:multiLevelType w:val="multilevel"/>
    <w:tmpl w:val="740684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7C0A666C"/>
    <w:multiLevelType w:val="multilevel"/>
    <w:tmpl w:val="F5DC84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7CCE33EC"/>
    <w:multiLevelType w:val="multilevel"/>
    <w:tmpl w:val="27D211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116559505">
    <w:abstractNumId w:val="5"/>
  </w:num>
  <w:num w:numId="2" w16cid:durableId="1807162250">
    <w:abstractNumId w:val="3"/>
  </w:num>
  <w:num w:numId="3" w16cid:durableId="1173955616">
    <w:abstractNumId w:val="7"/>
  </w:num>
  <w:num w:numId="4" w16cid:durableId="522598440">
    <w:abstractNumId w:val="1"/>
  </w:num>
  <w:num w:numId="5" w16cid:durableId="1023826779">
    <w:abstractNumId w:val="8"/>
  </w:num>
  <w:num w:numId="6" w16cid:durableId="1705446685">
    <w:abstractNumId w:val="2"/>
  </w:num>
  <w:num w:numId="7" w16cid:durableId="476848928">
    <w:abstractNumId w:val="9"/>
  </w:num>
  <w:num w:numId="8" w16cid:durableId="64037430">
    <w:abstractNumId w:val="0"/>
  </w:num>
  <w:num w:numId="9" w16cid:durableId="1666938111">
    <w:abstractNumId w:val="6"/>
  </w:num>
  <w:num w:numId="10" w16cid:durableId="5446840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650E"/>
    <w:rsid w:val="001148FE"/>
    <w:rsid w:val="00194966"/>
    <w:rsid w:val="001F650E"/>
    <w:rsid w:val="002B501E"/>
    <w:rsid w:val="003556EA"/>
    <w:rsid w:val="005504F5"/>
    <w:rsid w:val="0058730D"/>
    <w:rsid w:val="005A4318"/>
    <w:rsid w:val="005D239E"/>
    <w:rsid w:val="005F7566"/>
    <w:rsid w:val="006166B2"/>
    <w:rsid w:val="006A318E"/>
    <w:rsid w:val="007073A3"/>
    <w:rsid w:val="008D5B44"/>
    <w:rsid w:val="00A85657"/>
    <w:rsid w:val="00B260D9"/>
    <w:rsid w:val="00C23416"/>
    <w:rsid w:val="00C656BE"/>
    <w:rsid w:val="00DD0282"/>
    <w:rsid w:val="00E927FE"/>
    <w:rsid w:val="00EC0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C0135"/>
  <w15:docId w15:val="{EA021E63-16ED-624B-83D0-AB7A8FD8E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1E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1E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1E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E1E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1E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1E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1E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1E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1E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1E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1E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1E1D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AE1E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AE1E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1E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1E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1E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1E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1E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1E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1E1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AE1E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AE1E1D"/>
    <w:rPr>
      <w:b/>
      <w:bCs/>
    </w:rPr>
  </w:style>
  <w:style w:type="character" w:styleId="Emphasis">
    <w:name w:val="Emphasis"/>
    <w:basedOn w:val="DefaultParagraphFont"/>
    <w:uiPriority w:val="20"/>
    <w:qFormat/>
    <w:rsid w:val="00AE1E1D"/>
    <w:rPr>
      <w:i/>
      <w:iCs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7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9CR9s26XpWDedD/ugi/WgMtQfg==">CgMxLjAaJAoBMBIfCh0IB0IZCg9UaW1lcyBOZXcgUm9tYW4SBkNhdWRleBolCgExEiAKHggHQhoKD1RpbWVzIE5ldyBSb21hbhIHR3VuZ3N1aBolCgEyEiAKHggHQhoKD1RpbWVzIE5ldyBSb21hbhIHR3VuZ3N1aBolCgEzEiAKHggHQhoKD1RpbWVzIE5ldyBSb21hbhIHR3VuZ3N1aDgAciExd3h1eDZPRkJJSkJsdzRueDYxMy05UjZZNHQwRnYtbmI=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888</Words>
  <Characters>5067</Characters>
  <Application>Microsoft Office Word</Application>
  <DocSecurity>0</DocSecurity>
  <Lines>42</Lines>
  <Paragraphs>11</Paragraphs>
  <ScaleCrop>false</ScaleCrop>
  <Company/>
  <LinksUpToDate>false</LinksUpToDate>
  <CharactersWithSpaces>5944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Aneesh -</dc:creator>
  <cp:lastModifiedBy>Aneesh -</cp:lastModifiedBy>
  <cp:revision>40</cp:revision>
  <dcterms:created xsi:type="dcterms:W3CDTF">2025-06-28T16:16:00Z</dcterms:created>
  <dcterms:modified xsi:type="dcterms:W3CDTF">2025-06-28T23:28:00Z</dcterms:modified>
</cp:coreProperties>
</file>