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2/27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1440" w:hanging="360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Represent 2028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vertAlign w:val="subscript"/>
          <w:rtl w:val="0"/>
        </w:rPr>
        <w:t xml:space="preserve">10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  in base58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1440" w:hanging="360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Why does address has 1 as the first character always?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0.0" w:type="dxa"/>
        <w:jc w:val="center"/>
        <w:tblLayout w:type="fixed"/>
        <w:tblLook w:val="0600"/>
      </w:tblPr>
      <w:tblGrid>
        <w:gridCol w:w="1440"/>
        <w:gridCol w:w="1440"/>
        <w:gridCol w:w="420"/>
        <w:gridCol w:w="2460"/>
        <w:tblGridChange w:id="0">
          <w:tblGrid>
            <w:gridCol w:w="1440"/>
            <w:gridCol w:w="1440"/>
            <w:gridCol w:w="420"/>
            <w:gridCol w:w="246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8"/>
                <w:szCs w:val="28"/>
                <w:rtl w:val="0"/>
              </w:rPr>
              <w:t xml:space="preserve">    58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8"/>
                <w:szCs w:val="28"/>
                <w:rtl w:val="0"/>
              </w:rPr>
              <w:t xml:space="preserve">2028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8"/>
                <w:szCs w:val="28"/>
                <w:rtl w:val="0"/>
              </w:rPr>
              <w:t xml:space="preserve">56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right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8"/>
                <w:szCs w:val="28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30"/>
                <w:szCs w:val="3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8"/>
                <w:szCs w:val="28"/>
                <w:rtl w:val="0"/>
              </w:rPr>
              <w:t xml:space="preserve">34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↑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right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0.80000000000001" w:type="dxa"/>
              <w:left w:w="100.80000000000001" w:type="dxa"/>
              <w:bottom w:w="100.80000000000001" w:type="dxa"/>
              <w:right w:w="100.80000000000001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6.9599999999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ab/>
        <w:t xml:space="preserve">Looking at the base58 table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ab/>
        <w:t xml:space="preserve">56 is y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ab/>
        <w:t xml:space="preserve">34 is b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2028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 is represented as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“by”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 in base58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Base58Check encoding is used to code Bitcoin addresses. It starts with a version byte that tells what kind of address it is and which network it belongs to. In Bitcoin, a standard public key hash address has a version byte of 0x00, which is the Base58 character "1." This rule was chosen because it is simple and easy to understand. Since then, it has become a standard in other cryptocurrencies and blockchain networks.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