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4/12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Find one commercial example of a smart contract and explain it.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17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</w:rPr>
        <w:drawing>
          <wp:inline distB="114300" distT="114300" distL="114300" distR="114300">
            <wp:extent cx="4895850" cy="12599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945" l="0" r="0" t="250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5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Chainlink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is a decentralized blockchain oracle network built on Ethereum.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 enables smart contracts to have secure access to off-chain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Chainlink ensures reliability, security, and scalability.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 uses cryptography techniques like multi-party computation.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Chainlink supports a wide range of data sources, including APIs and IoT devices.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Chainlink's token, LINK, is used as a utility token.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1440" w:hanging="360"/>
        <w:jc w:val="both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 has the potential to be a critical infrastructure layer in the blockchain ecosystem.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