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Data Center/Environmental controls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data center of ACME Defense Contractors is located on the second level of the 6-story building. Because the data center sits within the building, there will be less latency, increased application performance, and quick data access. IEEE 802.11 and TEMPEST standards are followed, and NIST 800-171 and CMMC compliance are also applied. The data center's walls are made of wall panels, which aid in airflow management and adequate cooling and heat dissipation, and the most sensitive data will be stored deep inside the facility in a shielded anechoic chamber coated with a unique hybrid material to minimize electromagnetic emanations. Raised floors with water leak detection sensing cables for flood monitoring and humidity control will be implemented, as well as drop-away ceilings with HVAC alarms, smoke and fire detectors with clean agent fire suppression such as Dupont</w:t>
      </w:r>
      <w:r w:rsidDel="00000000" w:rsidR="00000000" w:rsidRPr="00000000">
        <w:rPr>
          <w:rFonts w:ascii="Source Sans Pro" w:cs="Source Sans Pro" w:eastAsia="Source Sans Pro" w:hAnsi="Source Sans Pro"/>
          <w:vertAlign w:val="superscript"/>
          <w:rtl w:val="0"/>
        </w:rPr>
        <w:t xml:space="preserve">TM</w:t>
      </w:r>
      <w:r w:rsidDel="00000000" w:rsidR="00000000" w:rsidRPr="00000000">
        <w:rPr>
          <w:rFonts w:ascii="Source Sans Pro" w:cs="Source Sans Pro" w:eastAsia="Source Sans Pro" w:hAnsi="Source Sans Pro"/>
          <w:rtl w:val="0"/>
        </w:rPr>
        <w:t xml:space="preserve"> FM-200, sliding doors, no windows, video surveillance, and Iris and passcode electronic access controls (EAC) for the data center. To avoid data loss from electronic power surges or outages, an uninterruptible power supply (UPS) and a generator will be provided.</w:t>
      </w:r>
    </w:p>
    <w:p w:rsidR="00000000" w:rsidDel="00000000" w:rsidP="00000000" w:rsidRDefault="00000000" w:rsidRPr="00000000" w14:paraId="00000004">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5">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6">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jc w:val="both"/>
        <w:rPr>
          <w:rFonts w:ascii="Source Sans Pro" w:cs="Source Sans Pro" w:eastAsia="Source Sans Pro" w:hAnsi="Source Sans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