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before="300" w:after="60"/>
      </w:pPr>
      <w:r>
        <w:rPr>
          <w:rFonts w:ascii="Arial" w:cs="Arial" w:eastAsia="Arial" w:hAnsi="Arial"/>
          <w:b/>
          <w:bCs/>
          <w:color w:val="D4912A"/>
          <w:spacing w:val="80"/>
          <w:sz w:val="18"/>
          <w:szCs w:val="18"/>
        </w:rPr>
        <w:t xml:space="preserve">BRAND GUIDELINES 2026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714"/>
          <w:sz w:val="56"/>
          <w:szCs w:val="56"/>
        </w:rPr>
        <w:t xml:space="preserve">Aneesh Thakral</w:t>
      </w:r>
    </w:p>
    <w:p>
      <w:pPr>
        <w:spacing w:after="200"/>
      </w:pPr>
      <w:r>
        <w:rPr>
          <w:rFonts w:ascii="Arial" w:cs="Arial" w:eastAsia="Arial" w:hAnsi="Arial"/>
          <w:color w:val="D4912A"/>
          <w:sz w:val="28"/>
          <w:szCs w:val="28"/>
        </w:rPr>
        <w:t xml:space="preserve">AI × Sales × Storytelling</w:t>
      </w:r>
    </w:p>
    <w:p>
      <w:pPr>
        <w:pBdr>
          <w:bottom w:val="single" w:color="D4912A" w:sz="3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Personal brand identity system for a globally positioned founder, thought leader, and AI storytelling strategist. Built to complement StoryGrid &amp; Co. while maintaining independent visual authority.</w:t>
      </w:r>
    </w:p>
    <w:p>
      <w:r>
        <w:br w:type="page"/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D4912A"/>
          <w:spacing w:val="80"/>
          <w:sz w:val="18"/>
          <w:szCs w:val="18"/>
        </w:rPr>
        <w:t xml:space="preserve">01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Brand positioning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Niche: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AI × Sales × Storytelling × Personal Branding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Founder of StoryGrid &amp; Co. | B2B sales professional with 8+ years enterprise experience and $5M+ in closed revenue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Positioning: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Practitioner-experimenter at the intersection of AI and sales storytelling. Not a reporter. Not an enthusiast. A builder who demonstrates what he teaches.</w:t>
      </w:r>
    </w:p>
    <w:p>
      <w:pPr>
        <w:spacing w:before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714"/>
          <w:sz w:val="24"/>
          <w:szCs w:val="24"/>
        </w:rPr>
        <w:t xml:space="preserve">Brand personality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Insight-driven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Every piece of content contains verifiable substance, not opinion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Calm authority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Confident, never arrogant. No hedging.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Human + analytical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Warm but precise. Not cold-technical, not warm-fluffy.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Premium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Quality-conscious. Detail-oriented. International perspective.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Strategic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Every creative decision is backed by a clear strategic rationale.</w:t>
            </w:r>
          </w:p>
        </w:tc>
      </w:tr>
    </w:tbl>
    <w:p>
      <w:pPr>
        <w:spacing w:before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714"/>
          <w:sz w:val="24"/>
          <w:szCs w:val="24"/>
        </w:rPr>
        <w:t xml:space="preserve">Target audience</w:t>
      </w:r>
    </w:p>
    <w:p>
      <w:pPr>
        <w:spacing w:after="12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Founders, sales leaders, consultants, professionals building personal brands, and C-suite executives who want AI translated into business impact, not technical jargon.</w:t>
      </w:r>
    </w:p>
    <w:p>
      <w:r>
        <w:br w:type="page"/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D4912A"/>
          <w:spacing w:val="80"/>
          <w:sz w:val="18"/>
          <w:szCs w:val="18"/>
        </w:rPr>
        <w:t xml:space="preserve">02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Color palette</w:t>
      </w:r>
    </w:p>
    <w:p>
      <w:pPr>
        <w:spacing w:after="12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Warm editorial palette that creates instant differentiation from the blue-black tech aesthetic dominating LinkedIn. Premium without being muted. Human without being casual.</w:t>
      </w:r>
    </w:p>
    <w:p>
      <w:pPr>
        <w:spacing w:before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714"/>
          <w:sz w:val="24"/>
          <w:szCs w:val="24"/>
        </w:rPr>
        <w:t xml:space="preserve">Light mode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FDFA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6"/>
                <w:szCs w:val="16"/>
              </w:rPr>
              <w:t xml:space="preserve">Canvas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#FDFAF5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F5EFE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6"/>
                <w:szCs w:val="16"/>
              </w:rPr>
              <w:t xml:space="preserve">Surface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#F5EFE5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D4912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Amber</w:t>
            </w:r>
          </w:p>
          <w:p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#D4912A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B87A1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Deep amber</w:t>
            </w:r>
          </w:p>
          <w:p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#B87A1A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1A171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FE5"/>
                <w:sz w:val="16"/>
                <w:szCs w:val="16"/>
              </w:rPr>
              <w:t xml:space="preserve">Charcoal</w:t>
            </w:r>
          </w:p>
          <w:p>
            <w:r>
              <w:rPr>
                <w:rFonts w:ascii="Arial" w:cs="Arial" w:eastAsia="Arial" w:hAnsi="Arial"/>
                <w:color w:val="F5EFE5"/>
                <w:sz w:val="14"/>
                <w:szCs w:val="14"/>
              </w:rPr>
              <w:t xml:space="preserve">#1A1714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6B656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FE5"/>
                <w:sz w:val="16"/>
                <w:szCs w:val="16"/>
              </w:rPr>
              <w:t xml:space="preserve">Muted</w:t>
            </w:r>
          </w:p>
          <w:p>
            <w:r>
              <w:rPr>
                <w:rFonts w:ascii="Arial" w:cs="Arial" w:eastAsia="Arial" w:hAnsi="Arial"/>
                <w:color w:val="F5EFE5"/>
                <w:sz w:val="14"/>
                <w:szCs w:val="14"/>
              </w:rPr>
              <w:t xml:space="preserve">#6B6560</w:t>
            </w:r>
          </w:p>
        </w:tc>
      </w:tr>
    </w:tbl>
    <w:p>
      <w:pPr>
        <w:spacing w:before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714"/>
          <w:sz w:val="24"/>
          <w:szCs w:val="24"/>
        </w:rPr>
        <w:t xml:space="preserve">Dark mode (carousels and high-impact content)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0F0D0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AA8A"/>
                <w:sz w:val="16"/>
                <w:szCs w:val="16"/>
              </w:rPr>
              <w:t xml:space="preserve">Deep base</w:t>
            </w:r>
          </w:p>
          <w:p>
            <w:r>
              <w:rPr>
                <w:rFonts w:ascii="Arial" w:cs="Arial" w:eastAsia="Arial" w:hAnsi="Arial"/>
                <w:color w:val="C4AA8A"/>
                <w:sz w:val="14"/>
                <w:szCs w:val="14"/>
              </w:rPr>
              <w:t xml:space="preserve">#0F0D0A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1A121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AA8A"/>
                <w:sz w:val="16"/>
                <w:szCs w:val="16"/>
              </w:rPr>
              <w:t xml:space="preserve">Card</w:t>
            </w:r>
          </w:p>
          <w:p>
            <w:r>
              <w:rPr>
                <w:rFonts w:ascii="Arial" w:cs="Arial" w:eastAsia="Arial" w:hAnsi="Arial"/>
                <w:color w:val="C4AA8A"/>
                <w:sz w:val="14"/>
                <w:szCs w:val="14"/>
              </w:rPr>
              <w:t xml:space="preserve">#1A1210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D4912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Amber</w:t>
            </w:r>
          </w:p>
          <w:p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#D4912A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F5EDE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6"/>
                <w:szCs w:val="16"/>
              </w:rPr>
              <w:t xml:space="preserve">Heading</w:t>
            </w:r>
          </w:p>
          <w:p>
            <w:r>
              <w:rPr>
                <w:rFonts w:ascii="Arial" w:cs="Arial" w:eastAsia="Arial" w:hAnsi="Arial"/>
                <w:color w:val="1A1714"/>
                <w:sz w:val="14"/>
                <w:szCs w:val="14"/>
              </w:rPr>
              <w:t xml:space="preserve">#F5EDE0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C4AA8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6"/>
                <w:szCs w:val="16"/>
              </w:rPr>
              <w:t xml:space="preserve">Body</w:t>
            </w:r>
          </w:p>
          <w:p>
            <w:r>
              <w:rPr>
                <w:rFonts w:ascii="Arial" w:cs="Arial" w:eastAsia="Arial" w:hAnsi="Arial"/>
                <w:color w:val="1A1714"/>
                <w:sz w:val="14"/>
                <w:szCs w:val="14"/>
              </w:rPr>
              <w:t xml:space="preserve">#C4AA8A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3D352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AA8A"/>
                <w:sz w:val="16"/>
                <w:szCs w:val="16"/>
              </w:rPr>
              <w:t xml:space="preserve">Border</w:t>
            </w:r>
          </w:p>
          <w:p>
            <w:r>
              <w:rPr>
                <w:rFonts w:ascii="Arial" w:cs="Arial" w:eastAsia="Arial" w:hAnsi="Arial"/>
                <w:color w:val="C4AA8A"/>
                <w:sz w:val="14"/>
                <w:szCs w:val="14"/>
              </w:rPr>
              <w:t xml:space="preserve">#3D352A</w:t>
            </w:r>
          </w:p>
        </w:tc>
      </w:tr>
    </w:tbl>
    <w:p>
      <w:pPr>
        <w:spacing w:before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714"/>
          <w:sz w:val="24"/>
          <w:szCs w:val="24"/>
        </w:rPr>
        <w:t xml:space="preserve">Semantic colors (shared with StoryGrid &amp; Co.)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DC262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Danger</w:t>
            </w:r>
          </w:p>
          <w:p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#DC2626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16A34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Success</w:t>
            </w:r>
          </w:p>
          <w:p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#16A34A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  <w:p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#2563EB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7C3AED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#7C3AED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D4912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Warning</w:t>
            </w:r>
          </w:p>
          <w:p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#D4912A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6B656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Neutral</w:t>
            </w:r>
          </w:p>
          <w:p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#6B6560</w:t>
            </w:r>
          </w:p>
        </w:tc>
      </w:tr>
    </w:tbl>
    <w:p>
      <w:pPr>
        <w:spacing w:before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714"/>
          <w:sz w:val="24"/>
          <w:szCs w:val="24"/>
        </w:rPr>
        <w:t xml:space="preserve">Usage hierarchy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Amber #D4912A: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Signature accent. Section labels, accent bars, slide numbers, name tags. Used sparingly as a hallmark.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Canvas #FDFAF5: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Replaces cold white across all light-mode content. Warmer than the LinkedIn interface.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Charcoal #1A1714: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Primary text color in light mode. Headlines and key data.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Warm off-white #F5EDE0: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Heading text in dark mode. Never pure #FFFFFF.</w:t>
      </w:r>
    </w:p>
    <w:p>
      <w:r>
        <w:br w:type="page"/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D4912A"/>
          <w:spacing w:val="80"/>
          <w:sz w:val="18"/>
          <w:szCs w:val="18"/>
        </w:rPr>
        <w:t xml:space="preserve">03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Typography</w:t>
      </w:r>
    </w:p>
    <w:p>
      <w:pPr>
        <w:spacing w:after="12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Two weights maximum per piece of content. Hierarchy through size and spacing, never decoration.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Helvetica Neue / Arial (universal availability)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Slide headline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28-32px, Bold (700)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10-11px, Medium (500), uppercase, tracked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Body text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13-14px, Regular (400)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Data point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16-20px, Bold (700), semantic color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Name tag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10-11px, Medium (500), amber color</w:t>
            </w:r>
          </w:p>
        </w:tc>
      </w:tr>
    </w:tbl>
    <w:p>
      <w:pPr>
        <w:spacing w:before="100"/>
      </w:pP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[DO]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Maximum 3 type sizes per slide or visual asset</w:t>
      </w: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[DO]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Section labels always uppercase, always tracked, always amber</w:t>
      </w: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[DON'T]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Never use italics, decorative fonts, or script fonts</w:t>
      </w: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[DON'T]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Never use more than two font weights in a single design</w:t>
      </w:r>
    </w:p>
    <w:p>
      <w:r>
        <w:br w:type="page"/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D4912A"/>
          <w:spacing w:val="80"/>
          <w:sz w:val="18"/>
          <w:szCs w:val="18"/>
        </w:rPr>
        <w:t xml:space="preserve">04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Design principles</w:t>
      </w:r>
    </w:p>
    <w:p>
      <w:pPr>
        <w:spacing w:before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714"/>
          <w:sz w:val="24"/>
          <w:szCs w:val="24"/>
        </w:rPr>
        <w:t xml:space="preserve">Signature elements</w:t>
      </w: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[DO]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3px amber accent bar beneath every headline (most recognizable element)</w:t>
      </w: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[DO]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Uppercase amber section labels (THE FAILURE, THE THREAT, THE MONEY)</w:t>
      </w: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[DO]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Brand tag on every slide: ANEESH THAKRAL in amber + AI x Sales Storytelling in muted</w:t>
      </w: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[DO]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Page indicator dots on carousels (current = amber, others = muted)</w:t>
      </w: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[DO]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Two-digit slide numbers (01, 02, 03) top-left in rounded rectangle</w:t>
      </w:r>
    </w:p>
    <w:p>
      <w:pPr>
        <w:spacing w:before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714"/>
          <w:sz w:val="24"/>
          <w:szCs w:val="24"/>
        </w:rPr>
        <w:t xml:space="preserve">Restrictions</w:t>
      </w: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[DON'T]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Pure black (#000000) backgrounds. Always warm charcoal (#0F0D0A).</w:t>
      </w: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[DON'T]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Pure white (#FFFFFF) text. Always warm off-white (#F5EDE0 dark / #FDFAF5 light).</w:t>
      </w: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[DON'T]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Blue as a primary accent. Blue reserved for informational data points only.</w:t>
      </w: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[DON'T]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Gradients, shadows, glows, neon effects. Flat surfaces and clean edges only.</w:t>
      </w:r>
    </w:p>
    <w:p>
      <w:pPr>
        <w:pBdr>
          <w:bottom w:val="single" w:color="E8E0D2" w:sz="1" w:space="4"/>
        </w:pBdr>
        <w:spacing w:before="80"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[DON'T] </w:t>
      </w:r>
      <w:r>
        <w:rPr>
          <w:rFonts w:ascii="Arial" w:cs="Arial" w:eastAsia="Arial" w:hAnsi="Arial"/>
          <w:color w:val="1A1714"/>
          <w:sz w:val="20"/>
          <w:szCs w:val="20"/>
        </w:rPr>
        <w:t xml:space="preserve">Stock imagery, generic icons, or clip art.</w:t>
      </w:r>
    </w:p>
    <w:p>
      <w:r>
        <w:br w:type="page"/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D4912A"/>
          <w:spacing w:val="80"/>
          <w:sz w:val="18"/>
          <w:szCs w:val="18"/>
        </w:rPr>
        <w:t xml:space="preserve">05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Tone of voice</w:t>
      </w:r>
    </w:p>
    <w:p>
      <w:pPr>
        <w:spacing w:after="12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Present tense. Active voice. Confident, never arrogant. Sparse opinion, high-density implication.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We say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Calm, clear, grounded analysis with original perspective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We never say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Corporate jargon, hedging, or AI-sounding phrases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Banned words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Leverage, delve, tapestry, navigate, landscape, in terms of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Punctuation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No em dashes. No semicolons. Periods and commas only.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POV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One perspective held consistently. Never fence-sitting.</w:t>
            </w:r>
          </w:p>
        </w:tc>
      </w:tr>
    </w:tbl>
    <w:p>
      <w:r>
        <w:br w:type="page"/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D4912A"/>
          <w:spacing w:val="80"/>
          <w:sz w:val="18"/>
          <w:szCs w:val="18"/>
        </w:rPr>
        <w:t xml:space="preserve">06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Social media guidelines</w:t>
      </w:r>
    </w:p>
    <w:p>
      <w:pPr>
        <w:spacing w:before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714"/>
          <w:sz w:val="24"/>
          <w:szCs w:val="24"/>
        </w:rPr>
        <w:t xml:space="preserve">LinkedIn (primary channel)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Monday: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Weekly AI roundup. Dark-mode PDF carousel (6-8 slides). Flagship content.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Saturday: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Single AI story deep dive. Light mode or short carousel.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Daily: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Engagement posts, repurposed content, shoutouts.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Format priority: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Carousel/PDF first (6.6% engagement rate). Text posts at 700-900 characters.</w:t>
      </w:r>
    </w:p>
    <w:p>
      <w:pPr>
        <w:spacing w:before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714"/>
          <w:sz w:val="24"/>
          <w:szCs w:val="24"/>
        </w:rPr>
        <w:t xml:space="preserve">Instagram (planned)</w:t>
      </w:r>
    </w:p>
    <w:p>
      <w:pPr>
        <w:spacing w:after="12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Visual content adapted from LinkedIn carousels. Same 4:5 ratio. Reels for short-form AI commentary.</w:t>
      </w:r>
    </w:p>
    <w:p>
      <w:pPr>
        <w:spacing w:before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714"/>
          <w:sz w:val="24"/>
          <w:szCs w:val="24"/>
        </w:rPr>
        <w:t xml:space="preserve">YouTube (planned)</w:t>
      </w:r>
    </w:p>
    <w:p>
      <w:pPr>
        <w:spacing w:after="12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Faceless channel. AI x Sales Storytelling content repurposed from LinkedIn. 90-day Partner Programme roadmap.</w:t>
      </w:r>
    </w:p>
    <w:p>
      <w:r>
        <w:br w:type="page"/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D4912A"/>
          <w:spacing w:val="80"/>
          <w:sz w:val="18"/>
          <w:szCs w:val="18"/>
        </w:rPr>
        <w:t xml:space="preserve">07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Website design direction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Mode: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Dual-mode system. Light mode primary (warm cream canvas). Dark mode for portfolio and high-impact sections.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Layout: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Editorial. Card-based. Generous whitespace. Grid structures.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Hero: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Name in charcoal, tagline in amber, minimal. No stock images.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Banner (LinkedIn):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Dark charcoal base. Name in warm off-white. AI x Sales Storytelling in amber. Amber accent bar along bottom edge.</w:t>
      </w:r>
    </w:p>
    <w:p>
      <w:pPr>
        <w:spacing w:before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714"/>
          <w:sz w:val="24"/>
          <w:szCs w:val="24"/>
        </w:rPr>
        <w:t xml:space="preserve">Cohesion with StoryGrid &amp; Co.</w:t>
      </w:r>
    </w:p>
    <w:p>
      <w:pPr>
        <w:spacing w:after="12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Both brands share typography, card structures, spacing systems, and the amber/copper accent thread. Aneesh Thakral uses amber as the primary accent. StoryGrid &amp; Co. amplifies it into neon territory. Moving between the two should feel like same founder, different energy.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560"/>
        <w:sz w:val="14"/>
        <w:szCs w:val="14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912A" w:sz="2" w:space="4"/>
      </w:pBdr>
    </w:pPr>
    <w:r>
      <w:rPr>
        <w:rFonts w:ascii="Arial" w:cs="Arial" w:eastAsia="Arial" w:hAnsi="Arial"/>
        <w:b/>
        <w:bCs/>
        <w:color w:val="D4912A"/>
        <w:sz w:val="16"/>
        <w:szCs w:val="16"/>
      </w:rPr>
      <w:t xml:space="preserve">Aneesh Thakral</w:t>
    </w:r>
    <w:r>
      <w:rPr>
        <w:rFonts w:ascii="Arial" w:cs="Arial" w:eastAsia="Arial" w:hAnsi="Arial"/>
        <w:color w:val="6B6560"/>
        <w:sz w:val="16"/>
        <w:szCs w:val="16"/>
      </w:rPr>
      <w:t xml:space="preserve">  |  Brand Guidelines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2026-03-31T03:33:40.786Z</dcterms:created>
  <dcterms:modified xsi:type="dcterms:W3CDTF">2026-03-31T03:33:40.787Z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