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4332"/>
          <w:sz w:val="64"/>
          <w:szCs w:val="64"/>
        </w:rPr>
        <w:t xml:space="preserve">VANDI</w:t>
      </w:r>
    </w:p>
    <w:p>
      <w:pPr>
        <w:spacing w:after="80" w:before="160"/>
        <w:jc w:val="center"/>
      </w:pPr>
      <w:r>
        <w:rPr>
          <w:i/>
          <w:iCs/>
          <w:color w:val="2D6A4F"/>
          <w:sz w:val="26"/>
          <w:szCs w:val="26"/>
        </w:rPr>
        <w:t xml:space="preserve">Every resident knows what's being collected, when — and can prove they did their part.</w:t>
      </w:r>
    </w:p>
    <w:p>
      <w:pPr>
        <w:spacing w:before="500"/>
        <w:jc w:val="center"/>
      </w:pPr>
      <w:r>
        <w:rPr>
          <w:color w:val="595959"/>
          <w:sz w:val="22"/>
          <w:szCs w:val="22"/>
        </w:rPr>
        <w:t xml:space="preserve">A submission concept for Build What Moves India</w:t>
      </w:r>
    </w:p>
    <w:p>
      <w:pPr>
        <w:spacing w:after="40"/>
        <w:jc w:val="center"/>
      </w:pPr>
      <w:r>
        <w:rPr>
          <w:i/>
          <w:iCs/>
          <w:color w:val="595959"/>
          <w:sz w:val="20"/>
          <w:szCs w:val="20"/>
        </w:rPr>
        <w:t xml:space="preserve">presented by Varun Mayya, in partnership with OpenAI</w:t>
      </w:r>
    </w:p>
    <w:p>
      <w:pPr>
        <w:spacing w:before="400"/>
        <w:jc w:val="center"/>
      </w:pPr>
      <w:r>
        <w:rPr>
          <w:color w:val="595959"/>
          <w:sz w:val="20"/>
          <w:szCs w:val="20"/>
        </w:rPr>
        <w:t xml:space="preserve">Prepared by Anees Kodappana · August 2026</w:t>
      </w:r>
    </w:p>
    <w:p>
      <w:pPr>
        <w:jc w:val="center"/>
      </w:pPr>
      <w:r>
        <w:rPr>
          <w:color w:val="595959"/>
          <w:sz w:val="20"/>
          <w:szCs w:val="20"/>
        </w:rPr>
        <w:t xml:space="preserve">Submission deadline: August 27, 2026  ·  Finale: Bengaluru, Sep 5–6, 2026</w:t>
      </w:r>
    </w:p>
    <w:p>
      <w:r>
        <w:br w:type="page"/>
      </w:r>
    </w:p>
    <w:p>
      <w:pPr>
        <w:pStyle w:val="Heading1"/>
        <w:pBdr>
          <w:bottom w:val="single" w:color="A6C6B0" w:sz="6" w:space="4"/>
        </w:pBdr>
        <w:spacing w:after="200" w:before="420"/>
      </w:pPr>
      <w:r>
        <w:rPr>
          <w:b/>
          <w:bCs/>
          <w:color w:val="1B4332"/>
          <w:sz w:val="30"/>
          <w:szCs w:val="30"/>
        </w:rPr>
        <w:t xml:space="preserve">1. The problem</w:t>
      </w:r>
    </w:p>
    <w:p>
      <w:pPr>
        <w:spacing w:after="160" w:line="300"/>
      </w:pPr>
      <w:r>
        <w:rPr>
          <w:sz w:val="22"/>
          <w:szCs w:val="22"/>
        </w:rPr>
        <w:t xml:space="preserve">I pay my monthly waste collection fee. One morning I missed the pickup by minutes. My homeowner told me to leave the bag at the informal spot where the collection crew stages waste before loading it onto the larger vehicle. Before it was collected, a stray dog tore the bag open and scattered it across the street. Someone reported the mess. A hospital prescription with my phone number was inside the bag — that's how I was traced. I was fined ₹10,000 for a mess that happened after my waste had already left my hands, at a point in the process with no record of who dropped what, or when.</w:t>
      </w:r>
    </w:p>
    <w:p>
      <w:pPr>
        <w:spacing w:after="160" w:line="300"/>
      </w:pPr>
      <w:r>
        <w:rPr>
          <w:sz w:val="22"/>
          <w:szCs w:val="22"/>
        </w:rPr>
        <w:t xml:space="preserve">That fine is the sharpest version of a problem that plays out quietly across Kochi every week, built on one broken workaround: WhatsApp.</w:t>
      </w:r>
    </w:p>
    <w:p>
      <w:pPr>
        <w:pStyle w:val="ListParagraph"/>
        <w:numPr>
          <w:ilvl w:val="0"/>
          <w:numId w:val="2"/>
        </w:numPr>
        <w:spacing w:after="120" w:line="290"/>
      </w:pPr>
      <w:r>
        <w:rPr>
          <w:b/>
          <w:bCs/>
          <w:color w:val="2D6A4F"/>
          <w:sz w:val="22"/>
          <w:szCs w:val="22"/>
        </w:rPr>
        <w:t xml:space="preserve">Broadcast reaches the wrong person. </w:t>
      </w:r>
      <w:r>
        <w:rPr>
          <w:sz w:val="22"/>
          <w:szCs w:val="22"/>
        </w:rPr>
        <w:t xml:space="preserve">Only the property owner is typically in the collection WhatsApp group. Kochi has a large floating population — tenants, PG residents, flatmates splitting a flat — and group-size limits plus constant move-in/move-out churn make it structurally impossible to keep the group current. Owners forget to relay. Tenants are invisible to the system.</w:t>
      </w:r>
    </w:p>
    <w:p>
      <w:pPr>
        <w:pStyle w:val="ListParagraph"/>
        <w:numPr>
          <w:ilvl w:val="0"/>
          <w:numId w:val="2"/>
        </w:numPr>
        <w:spacing w:after="120" w:line="290"/>
      </w:pPr>
      <w:r>
        <w:rPr>
          <w:b/>
          <w:bCs/>
          <w:color w:val="2D6A4F"/>
          <w:sz w:val="22"/>
          <w:szCs w:val="22"/>
        </w:rPr>
        <w:t xml:space="preserve">What's being collected changes daily, with no reliable signal. </w:t>
      </w:r>
      <w:r>
        <w:rPr>
          <w:sz w:val="22"/>
          <w:szCs w:val="22"/>
        </w:rPr>
        <w:t xml:space="preserve">Plastic one day, food waste another, metal or glass on a different schedule again. Without a dependable notification, people prepare the wrong waste — or none at all — and collection gets skipped.</w:t>
      </w:r>
    </w:p>
    <w:p>
      <w:pPr>
        <w:pStyle w:val="ListParagraph"/>
        <w:numPr>
          <w:ilvl w:val="0"/>
          <w:numId w:val="2"/>
        </w:numPr>
        <w:spacing w:after="120" w:line="290"/>
      </w:pPr>
      <w:r>
        <w:rPr>
          <w:b/>
          <w:bCs/>
          <w:color w:val="2D6A4F"/>
          <w:sz w:val="22"/>
          <w:szCs w:val="22"/>
        </w:rPr>
        <w:t xml:space="preserve">Uncoordinated handover creates real, sometimes costly damage. </w:t>
      </w:r>
      <w:r>
        <w:rPr>
          <w:sz w:val="22"/>
          <w:szCs w:val="22"/>
        </w:rPr>
        <w:t xml:space="preserve">The temporary staging point between doorstep and collection vehicle is where accountability disappears — exactly where my own ₹10,000 fine originated.</w:t>
      </w:r>
    </w:p>
    <w:p>
      <w:pPr>
        <w:pStyle w:val="ListParagraph"/>
        <w:numPr>
          <w:ilvl w:val="0"/>
          <w:numId w:val="2"/>
        </w:numPr>
        <w:spacing w:after="120" w:line="290"/>
      </w:pPr>
      <w:r>
        <w:rPr>
          <w:b/>
          <w:bCs/>
          <w:color w:val="2D6A4F"/>
          <w:sz w:val="22"/>
          <w:szCs w:val="22"/>
        </w:rPr>
        <w:t xml:space="preserve">There is no payment trail. </w:t>
      </w:r>
      <w:r>
        <w:rPr>
          <w:sz w:val="22"/>
          <w:szCs w:val="22"/>
        </w:rPr>
        <w:t xml:space="preserve">Fees are paid by UPI, but records live on paper, controlled by someone else — not by the person paying.</w:t>
      </w:r>
    </w:p>
    <w:p>
      <w:pPr>
        <w:spacing w:after="160" w:line="300"/>
      </w:pPr>
      <w:r>
        <w:rPr>
          <w:sz w:val="22"/>
          <w:szCs w:val="22"/>
        </w:rPr>
        <w:t xml:space="preserve">The connecting thread: there is no reliable, individual-level record of who handed over what, to whom, at what time — and no reliable way to reach the actual occupant of a home in a city where “owner” and “resident” are frequently different people.</w:t>
      </w:r>
    </w:p>
    <w:p>
      <w:pPr>
        <w:pStyle w:val="Heading1"/>
        <w:pBdr>
          <w:bottom w:val="single" w:color="A6C6B0" w:sz="6" w:space="4"/>
        </w:pBdr>
        <w:spacing w:after="200" w:before="420"/>
      </w:pPr>
      <w:r>
        <w:rPr>
          <w:b/>
          <w:bCs/>
          <w:color w:val="1B4332"/>
          <w:sz w:val="30"/>
          <w:szCs w:val="30"/>
        </w:rPr>
        <w:t xml:space="preserve">2. This is bigger than one bad day — the evidence</w:t>
      </w:r>
    </w:p>
    <w:p>
      <w:pPr>
        <w:pStyle w:val="Heading2"/>
        <w:spacing w:after="140" w:before="260"/>
      </w:pPr>
      <w:r>
        <w:rPr>
          <w:b/>
          <w:bCs/>
          <w:color w:val="2D6A4F"/>
          <w:sz w:val="24"/>
          <w:szCs w:val="24"/>
        </w:rPr>
        <w:t xml:space="preserve">A national pattern, not a local one</w:t>
      </w:r>
    </w:p>
    <w:p>
      <w:pPr>
        <w:spacing w:after="160" w:line="300"/>
      </w:pPr>
      <w:r>
        <w:rPr>
          <w:sz w:val="22"/>
          <w:szCs w:val="22"/>
        </w:rPr>
        <w:t xml:space="preserve">Roughly 30% of India's urban population lives in rented housing (Census 2011: 27%; RICS–Knight Frank estimates closer to 30% today), and internal migrants make up about 37% of India's total population, with nearly half concentrated in cities — in Delhi, migrants alone account for roughly half the city's population. Urban India was already home to about 486 million people in 2023, and the World Bank projects that will reach 600 million (40% of the country) by 2036. Any collection system that registers a fixed property rather than its current occupant is, by design, blind to a fast-growing share of urban India — tens of millions of people, not a Kochi-specific edge case.</w:t>
      </w:r>
    </w:p>
    <w:p>
      <w:pPr>
        <w:pStyle w:val="Heading2"/>
        <w:spacing w:after="140" w:before="260"/>
      </w:pPr>
      <w:r>
        <w:rPr>
          <w:b/>
          <w:bCs/>
          <w:color w:val="2D6A4F"/>
          <w:sz w:val="24"/>
          <w:szCs w:val="24"/>
        </w:rPr>
        <w:t xml:space="preserve">The government already built a system for this — more than once</w:t>
      </w:r>
    </w:p>
    <w:p>
      <w:pPr>
        <w:spacing w:after="160" w:line="300"/>
      </w:pPr>
      <w:r>
        <w:rPr>
          <w:sz w:val="22"/>
          <w:szCs w:val="22"/>
        </w:rPr>
        <w:t xml:space="preserve">Door-to-door collection in Kerala runs through Haritha Karma Sena (HKS), a state-backed workforce of roughly 35,000 workers under the Haritha Keralam Mission, Suchitwa Mission, Kudumbashree and Local Self-Government bodies. Its digital layer, Haritha Mithram (LSGD Kerala, built by Keltron, launched May 2022), registers each household with a QR code scanned at pickup, and is used operationally by about 98% of local bodies, with roughly 60% of households enrolled on the citizen side. A 2025 pilot (“Haritha Mithram 2.0”) is actively adding UPI-style payment and apartment billing right now.</w:t>
      </w:r>
    </w:p>
    <w:p>
      <w:pPr>
        <w:spacing w:after="160" w:line="300"/>
      </w:pPr>
      <w:r>
        <w:rPr>
          <w:sz w:val="22"/>
          <w:szCs w:val="22"/>
        </w:rPr>
        <w:t xml:space="preserve">This is not a one-off. It is the same pattern chosen independently, more than once, across India's sanitation digitization efforts: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50"/>
      </w:tblGrid>
      <w:tr>
        <w:tc>
          <w:tcPr>
            <w:tcW w:type="dxa" w:w="2200"/>
            <w:shd w:fill="D8F3DC" w:color="auto" w:val="clear"/>
            <w:tcMar>
              <w:top w:type="dxa" w:w="80"/>
              <w:left w:type="dxa" w:w="100"/>
              <w:bottom w:type="dxa" w:w="80"/>
              <w:right w:type="dxa" w:w="100"/>
            </w:tcMar>
          </w:tcPr>
          <w:p>
            <w:r>
              <w:rPr>
                <w:b/>
                <w:bCs/>
                <w:color w:val="1B4332"/>
                <w:sz w:val="19"/>
                <w:szCs w:val="19"/>
              </w:rPr>
              <w:t xml:space="preserve">System</w:t>
            </w:r>
          </w:p>
        </w:tc>
        <w:tc>
          <w:tcPr>
            <w:tcW w:type="dxa" w:w="1700"/>
            <w:shd w:fill="D8F3DC" w:color="auto" w:val="clear"/>
            <w:tcMar>
              <w:top w:type="dxa" w:w="80"/>
              <w:left w:type="dxa" w:w="100"/>
              <w:bottom w:type="dxa" w:w="80"/>
              <w:right w:type="dxa" w:w="100"/>
            </w:tcMar>
          </w:tcPr>
          <w:p>
            <w:r>
              <w:rPr>
                <w:b/>
                <w:bCs/>
                <w:color w:val="1B4332"/>
                <w:sz w:val="19"/>
                <w:szCs w:val="19"/>
              </w:rPr>
              <w:t xml:space="preserve">Coverage</w:t>
            </w:r>
          </w:p>
        </w:tc>
        <w:tc>
          <w:tcPr>
            <w:tcW w:type="dxa" w:w="2200"/>
            <w:shd w:fill="D8F3DC" w:color="auto" w:val="clear"/>
            <w:tcMar>
              <w:top w:type="dxa" w:w="80"/>
              <w:left w:type="dxa" w:w="100"/>
              <w:bottom w:type="dxa" w:w="80"/>
              <w:right w:type="dxa" w:w="100"/>
            </w:tcMar>
          </w:tcPr>
          <w:p>
            <w:r>
              <w:rPr>
                <w:b/>
                <w:bCs/>
                <w:color w:val="1B4332"/>
                <w:sz w:val="19"/>
                <w:szCs w:val="19"/>
              </w:rPr>
              <w:t xml:space="preserve">Registers</w:t>
            </w:r>
          </w:p>
        </w:tc>
        <w:tc>
          <w:tcPr>
            <w:tcW w:type="dxa" w:w="3250"/>
            <w:shd w:fill="D8F3DC" w:color="auto" w:val="clear"/>
            <w:tcMar>
              <w:top w:type="dxa" w:w="80"/>
              <w:left w:type="dxa" w:w="100"/>
              <w:bottom w:type="dxa" w:w="80"/>
              <w:right w:type="dxa" w:w="100"/>
            </w:tcMar>
          </w:tcPr>
          <w:p>
            <w:r>
              <w:rPr>
                <w:b/>
                <w:bCs/>
                <w:color w:val="1B4332"/>
                <w:sz w:val="19"/>
                <w:szCs w:val="19"/>
              </w:rPr>
              <w:t xml:space="preserve">Resident-side gap</w:t>
            </w:r>
          </w:p>
        </w:tc>
      </w:tr>
      <w:tr>
        <w:tc>
          <w:tcPr>
            <w:tcW w:type="dxa" w:w="2200"/>
            <w:tcMar>
              <w:top w:type="dxa" w:w="80"/>
              <w:left w:type="dxa" w:w="100"/>
              <w:bottom w:type="dxa" w:w="80"/>
              <w:right w:type="dxa" w:w="100"/>
            </w:tcMar>
          </w:tcPr>
          <w:p>
            <w:r>
              <w:rPr>
                <w:b w:val="false"/>
                <w:bCs w:val="false"/>
                <w:color w:val="1A1A1A"/>
                <w:sz w:val="19"/>
                <w:szCs w:val="19"/>
              </w:rPr>
              <w:t xml:space="preserve">Haritha Mithram — Kerala (LSGD / Suchitwa Mission)</w:t>
            </w:r>
          </w:p>
        </w:tc>
        <w:tc>
          <w:tcPr>
            <w:tcW w:type="dxa" w:w="1700"/>
            <w:tcMar>
              <w:top w:type="dxa" w:w="80"/>
              <w:left w:type="dxa" w:w="100"/>
              <w:bottom w:type="dxa" w:w="80"/>
              <w:right w:type="dxa" w:w="100"/>
            </w:tcMar>
          </w:tcPr>
          <w:p>
            <w:r>
              <w:rPr>
                <w:b w:val="false"/>
                <w:bCs w:val="false"/>
                <w:color w:val="1A1A1A"/>
                <w:sz w:val="19"/>
                <w:szCs w:val="19"/>
              </w:rPr>
              <w:t xml:space="preserve">~98% of local bodies; ~60% of households</w:t>
            </w:r>
          </w:p>
        </w:tc>
        <w:tc>
          <w:tcPr>
            <w:tcW w:type="dxa" w:w="2200"/>
            <w:tcMar>
              <w:top w:type="dxa" w:w="80"/>
              <w:left w:type="dxa" w:w="100"/>
              <w:bottom w:type="dxa" w:w="80"/>
              <w:right w:type="dxa" w:w="100"/>
            </w:tcMar>
          </w:tcPr>
          <w:p>
            <w:r>
              <w:rPr>
                <w:b w:val="false"/>
                <w:bCs w:val="false"/>
                <w:color w:val="1A1A1A"/>
                <w:sz w:val="19"/>
                <w:szCs w:val="19"/>
              </w:rPr>
              <w:t xml:space="preserve">The household, via a QR code at the entrance</w:t>
            </w:r>
          </w:p>
        </w:tc>
        <w:tc>
          <w:tcPr>
            <w:tcW w:type="dxa" w:w="3250"/>
            <w:tcMar>
              <w:top w:type="dxa" w:w="80"/>
              <w:left w:type="dxa" w:w="100"/>
              <w:bottom w:type="dxa" w:w="80"/>
              <w:right w:type="dxa" w:w="100"/>
            </w:tcMar>
          </w:tcPr>
          <w:p>
            <w:r>
              <w:rPr>
                <w:b w:val="false"/>
                <w:bCs w:val="false"/>
                <w:color w:val="1A1A1A"/>
                <w:sz w:val="19"/>
                <w:szCs w:val="19"/>
              </w:rPr>
              <w:t xml:space="preserve">No distinct occupant identity — tenants depend on the owner's account</w:t>
            </w:r>
          </w:p>
        </w:tc>
      </w:tr>
      <w:tr>
        <w:tc>
          <w:tcPr>
            <w:tcW w:type="dxa" w:w="2200"/>
            <w:tcMar>
              <w:top w:type="dxa" w:w="80"/>
              <w:left w:type="dxa" w:w="100"/>
              <w:bottom w:type="dxa" w:w="80"/>
              <w:right w:type="dxa" w:w="100"/>
            </w:tcMar>
          </w:tcPr>
          <w:p>
            <w:r>
              <w:rPr>
                <w:b w:val="false"/>
                <w:bCs w:val="false"/>
                <w:color w:val="1A1A1A"/>
                <w:sz w:val="19"/>
                <w:szCs w:val="19"/>
              </w:rPr>
              <w:t xml:space="preserve">Swachh Nagar App — national (Swachh Bharat Mission-Urban, MoHUA)</w:t>
            </w:r>
          </w:p>
        </w:tc>
        <w:tc>
          <w:tcPr>
            <w:tcW w:type="dxa" w:w="1700"/>
            <w:tcMar>
              <w:top w:type="dxa" w:w="80"/>
              <w:left w:type="dxa" w:w="100"/>
              <w:bottom w:type="dxa" w:w="80"/>
              <w:right w:type="dxa" w:w="100"/>
            </w:tcMar>
          </w:tcPr>
          <w:p>
            <w:r>
              <w:rPr>
                <w:b w:val="false"/>
                <w:bCs w:val="false"/>
                <w:color w:val="1A1A1A"/>
                <w:sz w:val="19"/>
                <w:szCs w:val="19"/>
              </w:rPr>
              <w:t xml:space="preserve">90+ ULBs across 13 states; 1.45 lakh houses mapped</w:t>
            </w:r>
          </w:p>
        </w:tc>
        <w:tc>
          <w:tcPr>
            <w:tcW w:type="dxa" w:w="2200"/>
            <w:tcMar>
              <w:top w:type="dxa" w:w="80"/>
              <w:left w:type="dxa" w:w="100"/>
              <w:bottom w:type="dxa" w:w="80"/>
              <w:right w:type="dxa" w:w="100"/>
            </w:tcMar>
          </w:tcPr>
          <w:p>
            <w:r>
              <w:rPr>
                <w:b w:val="false"/>
                <w:bCs w:val="false"/>
                <w:color w:val="1A1A1A"/>
                <w:sz w:val="19"/>
                <w:szCs w:val="19"/>
              </w:rPr>
              <w:t xml:space="preserve">The house, geo-mapped on the SN portal</w:t>
            </w:r>
          </w:p>
        </w:tc>
        <w:tc>
          <w:tcPr>
            <w:tcW w:type="dxa" w:w="3250"/>
            <w:tcMar>
              <w:top w:type="dxa" w:w="80"/>
              <w:left w:type="dxa" w:w="100"/>
              <w:bottom w:type="dxa" w:w="80"/>
              <w:right w:type="dxa" w:w="100"/>
            </w:tcMar>
          </w:tcPr>
          <w:p>
            <w:r>
              <w:rPr>
                <w:b w:val="false"/>
                <w:bCs w:val="false"/>
                <w:color w:val="1A1A1A"/>
                <w:sz w:val="19"/>
                <w:szCs w:val="19"/>
              </w:rPr>
              <w:t xml:space="preserve">Same property-level design, at national-programme scale</w:t>
            </w:r>
          </w:p>
        </w:tc>
      </w:tr>
      <w:tr>
        <w:tc>
          <w:tcPr>
            <w:tcW w:type="dxa" w:w="2200"/>
            <w:tcMar>
              <w:top w:type="dxa" w:w="80"/>
              <w:left w:type="dxa" w:w="100"/>
              <w:bottom w:type="dxa" w:w="80"/>
              <w:right w:type="dxa" w:w="100"/>
            </w:tcMar>
          </w:tcPr>
          <w:p>
            <w:r>
              <w:rPr>
                <w:b w:val="false"/>
                <w:bCs w:val="false"/>
                <w:color w:val="1A1A1A"/>
                <w:sz w:val="19"/>
                <w:szCs w:val="19"/>
              </w:rPr>
              <w:t xml:space="preserve">Swachh Jaisan — IoT/RFID pilot (SBM-U)</w:t>
            </w:r>
          </w:p>
        </w:tc>
        <w:tc>
          <w:tcPr>
            <w:tcW w:type="dxa" w:w="1700"/>
            <w:tcMar>
              <w:top w:type="dxa" w:w="80"/>
              <w:left w:type="dxa" w:w="100"/>
              <w:bottom w:type="dxa" w:w="80"/>
              <w:right w:type="dxa" w:w="100"/>
            </w:tcMar>
          </w:tcPr>
          <w:p>
            <w:r>
              <w:rPr>
                <w:b w:val="false"/>
                <w:bCs w:val="false"/>
                <w:color w:val="1A1A1A"/>
                <w:sz w:val="19"/>
                <w:szCs w:val="19"/>
              </w:rPr>
              <w:t xml:space="preserve">City-level pilot with live truck tracking</w:t>
            </w:r>
          </w:p>
        </w:tc>
        <w:tc>
          <w:tcPr>
            <w:tcW w:type="dxa" w:w="2200"/>
            <w:tcMar>
              <w:top w:type="dxa" w:w="80"/>
              <w:left w:type="dxa" w:w="100"/>
              <w:bottom w:type="dxa" w:w="80"/>
              <w:right w:type="dxa" w:w="100"/>
            </w:tcMar>
          </w:tcPr>
          <w:p>
            <w:r>
              <w:rPr>
                <w:b w:val="false"/>
                <w:bCs w:val="false"/>
                <w:color w:val="1A1A1A"/>
                <w:sz w:val="19"/>
                <w:szCs w:val="19"/>
              </w:rPr>
              <w:t xml:space="preserve">An RFID card fixed to the outer wall of each household</w:t>
            </w:r>
          </w:p>
        </w:tc>
        <w:tc>
          <w:tcPr>
            <w:tcW w:type="dxa" w:w="3250"/>
            <w:tcMar>
              <w:top w:type="dxa" w:w="80"/>
              <w:left w:type="dxa" w:w="100"/>
              <w:bottom w:type="dxa" w:w="80"/>
              <w:right w:type="dxa" w:w="100"/>
            </w:tcMar>
          </w:tcPr>
          <w:p>
            <w:r>
              <w:rPr>
                <w:b w:val="false"/>
                <w:bCs w:val="false"/>
                <w:color w:val="1A1A1A"/>
                <w:sz w:val="19"/>
                <w:szCs w:val="19"/>
              </w:rPr>
              <w:t xml:space="preserve">Even the most technically advanced example found still anchors to the property, not the person living in it</w:t>
            </w:r>
          </w:p>
        </w:tc>
      </w:tr>
    </w:tbl>
    <w:p>
      <w:pPr>
        <w:spacing w:after="160" w:before="160"/>
      </w:pPr>
      <w:r>
        <w:rPr>
          <w:i/>
          <w:iCs/>
          <w:color w:val="595959"/>
          <w:sz w:val="20"/>
          <w:szCs w:val="20"/>
        </w:rPr>
        <w:t xml:space="preserve">Three independent implementations, three states, one shared blind spot: the record follows the address, not the resident.</w:t>
      </w:r>
    </w:p>
    <w:p>
      <w:pPr>
        <w:pStyle w:val="Heading2"/>
        <w:spacing w:after="140" w:before="260"/>
      </w:pPr>
      <w:r>
        <w:rPr>
          <w:b/>
          <w:bCs/>
          <w:color w:val="2D6A4F"/>
          <w:sz w:val="24"/>
          <w:szCs w:val="24"/>
        </w:rPr>
        <w:t xml:space="preserve">The stakes are real</w:t>
      </w:r>
    </w:p>
    <w:p>
      <w:pPr>
        <w:spacing w:after="160" w:line="300"/>
      </w:pPr>
      <w:r>
        <w:rPr>
          <w:sz w:val="22"/>
          <w:szCs w:val="22"/>
        </w:rPr>
        <w:t xml:space="preserve">A 2025 peer-reviewed study of HKS across all 14 Kerala districts (543 respondents) independently confirms “irregular payment” and “limited digital monitoring mechanisms” as open problems, and calls for further digitalization — this is a documented gap, not just a personal grievance.</w:t>
      </w:r>
    </w:p>
    <w:p>
      <w:pPr>
        <w:spacing w:after="160" w:line="300"/>
      </w:pPr>
      <w:r>
        <w:rPr>
          <w:sz w:val="22"/>
          <w:szCs w:val="22"/>
        </w:rPr>
        <w:t xml:space="preserve">The 2023 Brahmapuram dump fire in Kochi — a direct consequence of poor waste segregation and coordination — drew a ₹1.8 crore fine from the State Pollution Control Board, on top of an earlier ₹1 crore NGT fine in 2018 for the same underlying failure. Under Kerala's 2023 amended rules, improper dumping now carries a base fine of ₹5,000, rising to ₹50,000 plus up to a year's imprisonment for serious or repeat violations — my own ₹10,000 fine sits squarely inside a real, currently-enforced penalty regime. And fee collection is a documented weak point for the programme itself: an Ernakulam district review found several panchayats stuck at 34–50% of their user-fee collection target — poor payment visibility isn't just annoying for residents, it's a revenue problem for local government.</w:t>
      </w:r>
    </w:p>
    <w:p>
      <w:pPr>
        <w:spacing w:after="160" w:line="300"/>
      </w:pPr>
      <w:r>
        <w:rPr>
          <w:sz w:val="22"/>
          <w:szCs w:val="22"/>
        </w:rPr>
        <w:t xml:space="preserve">Outside Kerala, the same failure mode shows up wherever collection timing is unpredictable: in a Bengaluru layout, residents openly described “sneakily” dumping waste because BBMP's door-to-door schedule didn't reliably reach them — the same coordination gap, a different state.</w:t>
      </w:r>
    </w:p>
    <w:p>
      <w:pPr>
        <w:pStyle w:val="Heading1"/>
        <w:pBdr>
          <w:bottom w:val="single" w:color="A6C6B0" w:sz="6" w:space="4"/>
        </w:pBdr>
        <w:spacing w:after="200" w:before="420"/>
      </w:pPr>
      <w:r>
        <w:rPr>
          <w:b/>
          <w:bCs/>
          <w:color w:val="1B4332"/>
          <w:sz w:val="30"/>
          <w:szCs w:val="30"/>
        </w:rPr>
        <w:t xml:space="preserve">3. The core insight</w:t>
      </w:r>
    </w:p>
    <w:p>
      <w:pPr>
        <w:spacing w:after="160" w:line="300"/>
      </w:pPr>
      <w:r>
        <w:rPr>
          <w:sz w:val="22"/>
          <w:szCs w:val="22"/>
        </w:rPr>
        <w:t xml:space="preserve">Every system above optimizes the same unit of registration: the property. That made sense as a first step — it's the addressable, permanent thing. But the person who needs the daily information and does the daily paying is the occupant, and in a rental-heavy, high-turnover city, the occupant is rarely the account holder.</w:t>
      </w:r>
    </w:p>
    <w:p>
      <w:pPr>
        <w:spacing w:after="160" w:line="300"/>
      </w:pPr>
      <w:r>
        <w:rPr>
          <w:sz w:val="22"/>
          <w:szCs w:val="22"/>
        </w:rPr>
        <w:t xml:space="preserve">This is the same failure pattern found elsewhere in Indian civic infrastructure — ration cards, electoral rolls, and utility connections tied to a permanent address rather than whoever actually lives there today. The fix proposed here is specific to waste collection, but the underlying idea — make the occupant, not just the property, a first-class identity — is a genuinely general piece of product thinking, not a single feature.</w:t>
      </w:r>
    </w:p>
    <w:p>
      <w:pPr>
        <w:pStyle w:val="Heading1"/>
        <w:pBdr>
          <w:bottom w:val="single" w:color="A6C6B0" w:sz="6" w:space="4"/>
        </w:pBdr>
        <w:spacing w:after="200" w:before="420"/>
      </w:pPr>
      <w:r>
        <w:rPr>
          <w:b/>
          <w:bCs/>
          <w:color w:val="1B4332"/>
          <w:sz w:val="30"/>
          <w:szCs w:val="30"/>
        </w:rPr>
        <w:t xml:space="preserve">4. The solution — Vandi</w:t>
      </w:r>
    </w:p>
    <w:p>
      <w:pPr>
        <w:spacing w:after="160" w:line="300"/>
      </w:pPr>
      <w:r>
        <w:rPr>
          <w:sz w:val="22"/>
          <w:szCs w:val="22"/>
        </w:rPr>
        <w:t xml:space="preserve">Vandi (Malayalam/Manglish for “the vehicle” — as in chappu vandi vannu, “the garbage truck has come”) is a resident-facing layer that plugs into the property/QR-code model these systems already use, and adds four things on top:</w:t>
      </w:r>
    </w:p>
    <w:p>
      <w:pPr>
        <w:pStyle w:val="ListParagraph"/>
        <w:numPr>
          <w:ilvl w:val="0"/>
          <w:numId w:val="2"/>
        </w:numPr>
        <w:spacing w:after="120" w:line="290"/>
      </w:pPr>
      <w:r>
        <w:rPr>
          <w:b/>
          <w:bCs/>
          <w:color w:val="2D6A4F"/>
          <w:sz w:val="22"/>
          <w:szCs w:val="22"/>
        </w:rPr>
        <w:t xml:space="preserve">Individual occupant registration. </w:t>
      </w:r>
      <w:r>
        <w:rPr>
          <w:sz w:val="22"/>
          <w:szCs w:val="22"/>
        </w:rPr>
        <w:t xml:space="preserve">Multiple people per property, each with their own profile and move-in/move-out dates — no WhatsApp group required, no dependency on the owner remembering to relay.</w:t>
      </w:r>
    </w:p>
    <w:p>
      <w:pPr>
        <w:pStyle w:val="ListParagraph"/>
        <w:numPr>
          <w:ilvl w:val="0"/>
          <w:numId w:val="2"/>
        </w:numPr>
        <w:spacing w:after="120" w:line="290"/>
      </w:pPr>
      <w:r>
        <w:rPr>
          <w:b/>
          <w:bCs/>
          <w:color w:val="2D6A4F"/>
          <w:sz w:val="22"/>
          <w:szCs w:val="22"/>
        </w:rPr>
        <w:t xml:space="preserve">Daily, multi-channel broadcast. </w:t>
      </w:r>
      <w:r>
        <w:rPr>
          <w:sz w:val="22"/>
          <w:szCs w:val="22"/>
        </w:rPr>
        <w:t xml:space="preserve">Exactly what's being collected and when, pushed through app, SMS, and WhatsApp — not just an app notification, because a meaningful share of residents and collection workers won't reliably use an app.</w:t>
      </w:r>
    </w:p>
    <w:p>
      <w:pPr>
        <w:pStyle w:val="ListParagraph"/>
        <w:numPr>
          <w:ilvl w:val="0"/>
          <w:numId w:val="2"/>
        </w:numPr>
        <w:spacing w:after="120" w:line="290"/>
      </w:pPr>
      <w:r>
        <w:rPr>
          <w:b/>
          <w:bCs/>
          <w:color w:val="2D6A4F"/>
          <w:sz w:val="22"/>
          <w:szCs w:val="22"/>
        </w:rPr>
        <w:t xml:space="preserve">A two-sided handover record. </w:t>
      </w:r>
      <w:r>
        <w:rPr>
          <w:sz w:val="22"/>
          <w:szCs w:val="22"/>
        </w:rPr>
        <w:t xml:space="preserve">Resident marks “kept out,” collector marks “collected” — a timestamped log built specifically to prevent the kind of misattribution that led to my own fine.</w:t>
      </w:r>
    </w:p>
    <w:p>
      <w:pPr>
        <w:pStyle w:val="ListParagraph"/>
        <w:numPr>
          <w:ilvl w:val="0"/>
          <w:numId w:val="2"/>
        </w:numPr>
        <w:spacing w:after="120" w:line="290"/>
      </w:pPr>
      <w:r>
        <w:rPr>
          <w:b/>
          <w:bCs/>
          <w:color w:val="2D6A4F"/>
          <w:sz w:val="22"/>
          <w:szCs w:val="22"/>
        </w:rPr>
        <w:t xml:space="preserve">A personal payment ledger. </w:t>
      </w:r>
      <w:r>
        <w:rPr>
          <w:sz w:val="22"/>
          <w:szCs w:val="22"/>
        </w:rPr>
        <w:t xml:space="preserve">UPI receipt and running history per occupant, not per household — visible any time, owned by the person who actually pays.</w:t>
      </w:r>
    </w:p>
    <w:p>
      <w:pPr>
        <w:spacing w:after="160" w:line="300"/>
      </w:pPr>
      <w:r>
        <w:rPr>
          <w:sz w:val="22"/>
          <w:szCs w:val="22"/>
        </w:rPr>
        <w:t xml:space="preserve">Full data model, architecture, and a day-by-day build plan live in the companion engineering document, vandi-technical-spec.md.</w:t>
      </w:r>
    </w:p>
    <w:p>
      <w:pPr>
        <w:pStyle w:val="Heading1"/>
        <w:pBdr>
          <w:bottom w:val="single" w:color="A6C6B0" w:sz="6" w:space="4"/>
        </w:pBdr>
        <w:spacing w:after="200" w:before="420"/>
      </w:pPr>
      <w:r>
        <w:rPr>
          <w:b/>
          <w:bCs/>
          <w:color w:val="1B4332"/>
          <w:sz w:val="30"/>
          <w:szCs w:val="30"/>
        </w:rPr>
        <w:t xml:space="preserve">5. Why this fits Build What Moves India</w:t>
      </w:r>
    </w:p>
    <w:p>
      <w:pPr>
        <w:pStyle w:val="ListParagraph"/>
        <w:numPr>
          <w:ilvl w:val="0"/>
          <w:numId w:val="2"/>
        </w:numPr>
        <w:spacing w:after="100" w:line="290"/>
      </w:pPr>
      <w:r>
        <w:rPr>
          <w:sz w:val="22"/>
          <w:szCs w:val="22"/>
        </w:rPr>
        <w:t xml:space="preserve">It's a real, specific, personally-experienced problem — not a hypothetical, and not a shallow reskin of a system I've only read about.</w:t>
      </w:r>
    </w:p>
    <w:p>
      <w:pPr>
        <w:pStyle w:val="ListParagraph"/>
        <w:numPr>
          <w:ilvl w:val="0"/>
          <w:numId w:val="2"/>
        </w:numPr>
        <w:spacing w:after="100" w:line="290"/>
      </w:pPr>
      <w:r>
        <w:rPr>
          <w:sz w:val="22"/>
          <w:szCs w:val="22"/>
        </w:rPr>
        <w:t xml:space="preserve">It targets an existing public digital service (Haritha Mithram) with a published, independently-documented gap — closer to the brief's actual ask (“rethink a public service”) than most entrants picking IRCTC or EPFO from the outside.</w:t>
      </w:r>
    </w:p>
    <w:p>
      <w:pPr>
        <w:pStyle w:val="ListParagraph"/>
        <w:numPr>
          <w:ilvl w:val="0"/>
          <w:numId w:val="2"/>
        </w:numPr>
        <w:spacing w:after="100" w:line="290"/>
      </w:pPr>
      <w:r>
        <w:rPr>
          <w:sz w:val="22"/>
          <w:szCs w:val="22"/>
        </w:rPr>
        <w:t xml:space="preserve">The institutional appetite is demonstrably live: LSGD is actively piloting “Haritha Mithram 2.0” right now.</w:t>
      </w:r>
    </w:p>
    <w:p>
      <w:pPr>
        <w:pStyle w:val="ListParagraph"/>
        <w:numPr>
          <w:ilvl w:val="0"/>
          <w:numId w:val="2"/>
        </w:numPr>
        <w:spacing w:after="100" w:line="290"/>
      </w:pPr>
      <w:r>
        <w:rPr>
          <w:sz w:val="22"/>
          <w:szCs w:val="22"/>
        </w:rPr>
        <w:t xml:space="preserve">The underlying fix — occupant identity over property identity — is a transferable pattern across Indian civic-tech, not a single-feature app.</w:t>
      </w:r>
    </w:p>
    <w:p>
      <w:pPr>
        <w:pStyle w:val="Heading1"/>
        <w:pBdr>
          <w:bottom w:val="single" w:color="A6C6B0" w:sz="6" w:space="4"/>
        </w:pBdr>
        <w:spacing w:after="200" w:before="420"/>
      </w:pPr>
      <w:r>
        <w:rPr>
          <w:b/>
          <w:bCs/>
          <w:color w:val="1B4332"/>
          <w:sz w:val="30"/>
          <w:szCs w:val="30"/>
        </w:rPr>
        <w:t xml:space="preserve">6. Honest risks — and why I'm proceeding anyway</w:t>
      </w:r>
    </w:p>
    <w:p>
      <w:pPr>
        <w:pStyle w:val="ListParagraph"/>
        <w:numPr>
          <w:ilvl w:val="0"/>
          <w:numId w:val="2"/>
        </w:numPr>
        <w:spacing w:after="120" w:line="290"/>
      </w:pPr>
      <w:r>
        <w:rPr>
          <w:b/>
          <w:bCs/>
          <w:color w:val="2D6A4F"/>
          <w:sz w:val="22"/>
          <w:szCs w:val="22"/>
        </w:rPr>
        <w:t xml:space="preserve">Regional scope. </w:t>
      </w:r>
      <w:r>
        <w:rPr>
          <w:sz w:val="22"/>
          <w:szCs w:val="22"/>
        </w:rPr>
        <w:t xml:space="preserve">Haritha Mithram is a Kerala state programme, not a central portal with a nationwide user base like IRCTC. Countered by §2: the same property-vs-occupant design choice recurs in a national SBM-U app and an IoT pilot elsewhere in India, and the renter/migrant population this affects is a genuinely national number, not a Kochi one.</w:t>
      </w:r>
    </w:p>
    <w:p>
      <w:pPr>
        <w:pStyle w:val="ListParagraph"/>
        <w:numPr>
          <w:ilvl w:val="0"/>
          <w:numId w:val="2"/>
        </w:numPr>
        <w:spacing w:after="120" w:line="290"/>
      </w:pPr>
      <w:r>
        <w:rPr>
          <w:b/>
          <w:bCs/>
          <w:color w:val="2D6A4F"/>
          <w:sz w:val="22"/>
          <w:szCs w:val="22"/>
        </w:rPr>
        <w:t xml:space="preserve">No live integration. </w:t>
      </w:r>
      <w:r>
        <w:rPr>
          <w:sz w:val="22"/>
          <w:szCs w:val="22"/>
        </w:rPr>
        <w:t xml:space="preserve">The rules (rightly) forbid touching a real government system. The entire build will be a convincing, well-reasoned parallel prototype on synthetic data — not a live integration, and the submission will say so plainly.</w:t>
      </w:r>
    </w:p>
    <w:p>
      <w:pPr>
        <w:pStyle w:val="ListParagraph"/>
        <w:numPr>
          <w:ilvl w:val="0"/>
          <w:numId w:val="2"/>
        </w:numPr>
        <w:spacing w:after="120" w:line="290"/>
      </w:pPr>
      <w:r>
        <w:rPr>
          <w:b/>
          <w:bCs/>
          <w:color w:val="2D6A4F"/>
          <w:sz w:val="22"/>
          <w:szCs w:val="22"/>
        </w:rPr>
        <w:t xml:space="preserve">A tight build window. </w:t>
      </w:r>
      <w:r>
        <w:rPr>
          <w:sz w:val="22"/>
          <w:szCs w:val="22"/>
        </w:rPr>
        <w:t xml:space="preserve">Nine days, against a calendar that already includes a live client build, a freelance push, and a day job. The technical spec scopes one clean end-to-end journey rather than all four problems at once, and recommends considering a teammate.</w:t>
      </w:r>
    </w:p>
    <w:p>
      <w:pPr>
        <w:pStyle w:val="ListParagraph"/>
        <w:numPr>
          <w:ilvl w:val="0"/>
          <w:numId w:val="2"/>
        </w:numPr>
        <w:spacing w:after="120" w:line="290"/>
      </w:pPr>
      <w:r>
        <w:rPr>
          <w:b/>
          <w:bCs/>
          <w:color w:val="2D6A4F"/>
          <w:sz w:val="22"/>
          <w:szCs w:val="22"/>
        </w:rPr>
        <w:t xml:space="preserve">Adoption isn't promised. </w:t>
      </w:r>
      <w:r>
        <w:rPr>
          <w:sz w:val="22"/>
          <w:szCs w:val="22"/>
        </w:rPr>
        <w:t xml:space="preserve">Even as a finalist, there's no guarantee of government pickup. This is a portfolio and visibility exercise first; a real pitch to LSGD or Kochi Corporation is a legitimate, separate next step if the build lands well — not the basis for the 9-day plan.</w:t>
      </w:r>
    </w:p>
    <w:p>
      <w:pPr>
        <w:pStyle w:val="Heading1"/>
        <w:pBdr>
          <w:bottom w:val="single" w:color="A6C6B0" w:sz="6" w:space="4"/>
        </w:pBdr>
        <w:spacing w:after="200" w:before="420"/>
      </w:pPr>
      <w:r>
        <w:rPr>
          <w:b/>
          <w:bCs/>
          <w:color w:val="1B4332"/>
          <w:sz w:val="30"/>
          <w:szCs w:val="30"/>
        </w:rPr>
        <w:t xml:space="preserve">7. Submission write-up (draft)</w:t>
      </w:r>
    </w:p>
    <w:p>
      <w:pPr>
        <w:spacing w:after="160" w:line="300"/>
      </w:pPr>
      <w:r>
        <w:rPr>
          <w:sz w:val="22"/>
          <w:szCs w:val="22"/>
        </w:rPr>
        <w:t xml:space="preserve">For the required write-up — problem, who it affects, solution, what changed and why, tools used and how Codex contributed, what's functional vs. mocked, and known limitations:</w:t>
      </w:r>
    </w:p>
    <w:p>
      <w:pPr>
        <w:pBdr>
          <w:left w:val="single" w:color="2D6A4F" w:sz="12" w:space="8"/>
        </w:pBdr>
        <w:spacing w:after="160" w:line="300"/>
        <w:ind w:left="504"/>
      </w:pPr>
      <w:r>
        <w:rPr>
          <w:i/>
          <w:iCs/>
          <w:color w:val="3A3A3A"/>
          <w:sz w:val="22"/>
          <w:szCs w:val="22"/>
        </w:rPr>
        <w:t xml:space="preserve">Problem: Door-to-door waste collection in Kochi runs through a real Kerala government programme (Haritha Karma Sena) with an official app (Haritha Mithram) that registers households by property. In a city with heavy rental turnover, the account holder is rarely the person who needs the day-to-day information. The workaround — owner-run WhatsApp groups — structurally excludes tenants, and the resulting confusion once led to my own wrongful ₹10,000 fine, after correctly-handed-over waste was scattered by strays at an uncoordinated staging point with no record of who dropped what, when.</w:t>
      </w:r>
    </w:p>
    <w:p>
      <w:pPr>
        <w:pBdr>
          <w:left w:val="single" w:color="2D6A4F" w:sz="12" w:space="8"/>
        </w:pBdr>
        <w:spacing w:after="160" w:line="300"/>
        <w:ind w:left="504"/>
      </w:pPr>
      <w:r>
        <w:rPr>
          <w:i/>
          <w:iCs/>
          <w:color w:val="3A3A3A"/>
          <w:sz w:val="22"/>
          <w:szCs w:val="22"/>
        </w:rPr>
        <w:t xml:space="preserve">Who it affects: Renters, PG residents, and flatmates across Kochi and other Kerala towns using Haritha Karma Sena — and, more broadly, the roughly 30% of urban India that rents, wherever similar property-centric collection systems (Swachh Nagar, city IoT pilots) have been deployed.</w:t>
      </w:r>
    </w:p>
    <w:p>
      <w:pPr>
        <w:pBdr>
          <w:left w:val="single" w:color="2D6A4F" w:sz="12" w:space="8"/>
        </w:pBdr>
        <w:spacing w:after="160" w:line="300"/>
        <w:ind w:left="504"/>
      </w:pPr>
      <w:r>
        <w:rPr>
          <w:i/>
          <w:iCs/>
          <w:color w:val="3A3A3A"/>
          <w:sz w:val="22"/>
          <w:szCs w:val="22"/>
        </w:rPr>
        <w:t xml:space="preserve">Solution: Vandi adds an occupant-level layer on top of the existing household model — individual resident profiles, daily multi-channel broadcasts, a two-sided timestamped handover record, and a personal payment ledger.</w:t>
      </w:r>
    </w:p>
    <w:p>
      <w:pPr>
        <w:pBdr>
          <w:left w:val="single" w:color="2D6A4F" w:sz="12" w:space="8"/>
        </w:pBdr>
        <w:spacing w:after="160" w:line="300"/>
        <w:ind w:left="504"/>
      </w:pPr>
      <w:r>
        <w:rPr>
          <w:i/>
          <w:iCs/>
          <w:color w:val="3A3A3A"/>
          <w:sz w:val="22"/>
          <w:szCs w:val="22"/>
        </w:rPr>
        <w:t>What changed, why, tools used, Codex's contribution, what's functional vs. mocked, and known limitations: The first public systems registered the house. Vandi keeps the property and adds the occupant — role, move-in date, and an authorization boundary so one resident cannot mark another property or open another person's receipt. The two-sided handover log is the evidence artifact. Tools: Next.js App Router, strict TypeScript, Tailwind, Drizzle on Neon, Zod, Vitest, Vercel. M0-M4 were built in earlier coding-agent sessions; M5-M6 (payments, proof pack, security, deploy) were completed with Grok. Functional against a live synthetic database: sign-up, property join, today's schedule, kept-out/collected timestamps, cross-occupant denial, payment ledger, receipts, and the history proof pack. Mocked and labeled: fixed DEV OTP, simulated SMS/WhatsApp, mock UPI, invented addresses and +91-00000 phones, no Haritha Mithram connection. Limitations: no full grievance workflow, no LSGD admin console, in-memory rate limits, and real adoption still needs LSGD/Suchitwa Mission plus telecom. Live demo: https://vandi-eight.vercel.app</w:t>
      </w:r>
    </w:p>
    <w:p>
      <w:pPr>
        <w:pStyle w:val="Heading1"/>
        <w:pBdr>
          <w:bottom w:val="single" w:color="A6C6B0" w:sz="6" w:space="4"/>
        </w:pBdr>
        <w:spacing w:after="200" w:before="420"/>
      </w:pPr>
      <w:r>
        <w:rPr>
          <w:b/>
          <w:bCs/>
          <w:color w:val="1B4332"/>
          <w:sz w:val="30"/>
          <w:szCs w:val="30"/>
        </w:rPr>
        <w:t xml:space="preserve">8. Next steps</w:t>
      </w:r>
    </w:p>
    <w:p>
      <w:pPr>
        <w:pStyle w:val="ListParagraph"/>
        <w:numPr>
          <w:ilvl w:val="0"/>
          <w:numId w:val="2"/>
        </w:numPr>
        <w:spacing w:after="100" w:line="290"/>
      </w:pPr>
      <w:r>
        <w:rPr>
          <w:sz w:val="22"/>
          <w:szCs w:val="22"/>
        </w:rPr>
        <w:t xml:space="preserve">Register on the official form — no separate deadline is shown beyond the Aug 27 submission date, but earlier is better.</w:t>
      </w:r>
    </w:p>
    <w:p>
      <w:pPr>
        <w:pStyle w:val="ListParagraph"/>
        <w:numPr>
          <w:ilvl w:val="0"/>
          <w:numId w:val="2"/>
        </w:numPr>
        <w:spacing w:after="100" w:line="290"/>
      </w:pPr>
      <w:r>
        <w:rPr>
          <w:sz w:val="22"/>
          <w:szCs w:val="22"/>
        </w:rPr>
        <w:t xml:space="preserve">Decide solo vs. a small team (up to 4 allowed; only the leader registers).</w:t>
      </w:r>
    </w:p>
    <w:p>
      <w:pPr>
        <w:pStyle w:val="ListParagraph"/>
        <w:numPr>
          <w:ilvl w:val="0"/>
          <w:numId w:val="2"/>
        </w:numPr>
        <w:spacing w:after="100" w:line="290"/>
      </w:pPr>
      <w:r>
        <w:rPr>
          <w:sz w:val="22"/>
          <w:szCs w:val="22"/>
        </w:rPr>
        <w:t xml:space="preserve">Move to the technical spec for the milestone tracker and the day-by-day build plan.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2026-08-18T16:04:17.450Z</dcterms:created>
  <dcterms:modified xsi:type="dcterms:W3CDTF">2026-08-18T16:04:17.488Z</dcterms:modified>
</cp:coreProperties>
</file>

<file path=docProps/custom.xml><?xml version="1.0" encoding="utf-8"?>
<Properties xmlns="http://schemas.openxmlformats.org/officeDocument/2006/custom-properties" xmlns:vt="http://schemas.openxmlformats.org/officeDocument/2006/docPropsVTypes"/>
</file>