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Instrucciones de uso:</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Para crear un nuevo juego, se requiere elegir un tamaño, escoger la dificultad y colocar un nombre de usuario. Luego de esto, oprimir en el botón “Nuevo” para crear un tablero y una partida. Si no pone alguno de estos tres requerimientos, al presionar el botón “Nuevo” le saldrá un aviso </w:t>
      </w:r>
      <w:r w:rsidDel="00000000" w:rsidR="00000000" w:rsidRPr="00000000">
        <w:rPr>
          <w:rtl w:val="0"/>
        </w:rPr>
        <w:t xml:space="preserve">recordando que</w:t>
      </w:r>
      <w:r w:rsidDel="00000000" w:rsidR="00000000" w:rsidRPr="00000000">
        <w:rPr>
          <w:rtl w:val="0"/>
        </w:rPr>
        <w:t xml:space="preserve"> debe hacerlo. El nombre de usuario se agrega escribiendo sobre el cuadro de texto inferior derecho, donde se indica, con un hint, “Escriba su nombre de usuario”.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La opción Reiniciar solo funcionará si existe un tablero. Si no existe, esta función no hará nada.</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Cada vez que gané una partida, le saldrá un aviso felicitandolo y diciendo su puntaje obtenido. Al cerrar esta ventana de diálogo, se creará automáticamente un nuevo juego con una configuración diferente a la anterior.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Si quiere cambiar el nombre de usuario, deberá presionar el botón “Cambiar Jugador”. Esta opción eliminará el nombre de usuario de la parte inferior derecha para que usted pueda escribir otro nuevo.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Para jugar, solo debe hacer click en la casilla de las bombillas (mouseClicked).</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Comentario: Revisar que los strings de los directorios de las imágenes utilizadas y del archivo del top 10 estén bien puestos al descargar el repositorio para evitar errores de FileNotFound.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