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Гибридные вычисления</w:t>
      </w:r>
      <w:r w:rsidDel="00000000" w:rsidR="00000000" w:rsidRPr="00000000">
        <w:rPr>
          <w:rtl w:val="0"/>
        </w:rPr>
        <w:t xml:space="preserve"> позволяют использовать сильные стороны CPU и GPU, повышая производительность и эффективность использования ресурсов.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Накладные расходы при передаче данных</w:t>
      </w:r>
      <w:r w:rsidDel="00000000" w:rsidR="00000000" w:rsidRPr="00000000">
        <w:rPr>
          <w:rtl w:val="0"/>
        </w:rPr>
        <w:t xml:space="preserve"> минимизируют за счёт асинхронных копирований, перекрытия вычислений и обмена данными, а также сокращения числа передач.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 CPU</w:t>
      </w:r>
      <w:r w:rsidDel="00000000" w:rsidR="00000000" w:rsidRPr="00000000">
        <w:rPr>
          <w:rtl w:val="0"/>
        </w:rPr>
        <w:t xml:space="preserve"> лучше выполнять управляющую логику, ветвления и ввод-вывод,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на GPU</w:t>
      </w:r>
      <w:r w:rsidDel="00000000" w:rsidR="00000000" w:rsidRPr="00000000">
        <w:rPr>
          <w:rtl w:val="0"/>
        </w:rPr>
        <w:t xml:space="preserve"> — массово-параллельные и вычислительно интенсивные задачи.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Производительность гибридного приложения</w:t>
      </w:r>
      <w:r w:rsidDel="00000000" w:rsidR="00000000" w:rsidRPr="00000000">
        <w:rPr>
          <w:rtl w:val="0"/>
        </w:rPr>
        <w:t xml:space="preserve"> улучшают балансировкой нагрузки, оптимизацией доступа к памяти и использованием профилирования.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