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Company X — Remote Work Policy Summary</w:t>
      </w:r>
    </w:p>
    <w:p>
      <w:r>
        <w:t>Prepared by: Human Resources Department</w:t>
      </w:r>
    </w:p>
    <w:p>
      <w:r>
        <w:t>Date: June 2025</w:t>
      </w:r>
    </w:p>
    <w:p>
      <w:r>
        <w:t>Classification: Internal Use Only</w:t>
      </w:r>
    </w:p>
    <w:p/>
    <w:p>
      <w:pPr>
        <w:pStyle w:val="Heading1"/>
      </w:pPr>
      <w:r>
        <w:t>1. Purpose</w:t>
      </w:r>
    </w:p>
    <w:p>
      <w:r>
        <w:t>This document provides a summary of Company X's remote work policy for quick reference. Employees should consult the full policy document for detailed guidelines and exceptions.</w:t>
      </w:r>
    </w:p>
    <w:p>
      <w:pPr>
        <w:pStyle w:val="Heading1"/>
      </w:pPr>
      <w:r>
        <w:t>2. Eligibility</w:t>
      </w:r>
    </w:p>
    <w:p>
      <w:pPr>
        <w:pStyle w:val="ListBullet"/>
      </w:pPr>
      <w:r>
        <w:t>All full-time employees who have completed their probation period (90 days) are eligible for remote work arrangements. Eligibility is subject to:</w:t>
      </w:r>
    </w:p>
    <w:p>
      <w:pPr>
        <w:pStyle w:val="ListBullet"/>
      </w:pPr>
      <w:r>
        <w:t>Manager approval based on role requirements</w:t>
      </w:r>
    </w:p>
    <w:p>
      <w:pPr>
        <w:pStyle w:val="ListBullet"/>
      </w:pPr>
      <w:r>
        <w:t>Satisfactory performance reviews (rating of 3.0 or above)</w:t>
      </w:r>
    </w:p>
    <w:p>
      <w:pPr>
        <w:pStyle w:val="ListBullet"/>
      </w:pPr>
      <w:r>
        <w:t>Completion of the Remote Work Training module</w:t>
      </w:r>
    </w:p>
    <w:p>
      <w:pPr>
        <w:pStyle w:val="ListBullet"/>
      </w:pPr>
      <w:r>
        <w:t>Signed Remote Work Agreement on file with HR</w:t>
      </w:r>
    </w:p>
    <w:p>
      <w:pPr>
        <w:pStyle w:val="Heading1"/>
      </w:pPr>
      <w:r>
        <w:t>3. Remote Work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Approval Required</w:t>
            </w:r>
          </w:p>
        </w:tc>
      </w:tr>
      <w:tr>
        <w:tc>
          <w:tcPr>
            <w:tcW w:type="dxa" w:w="2880"/>
          </w:tcPr>
          <w:p>
            <w:r>
              <w:t>Hybrid (Default)</w:t>
            </w:r>
          </w:p>
        </w:tc>
        <w:tc>
          <w:tcPr>
            <w:tcW w:type="dxa" w:w="2880"/>
          </w:tcPr>
          <w:p>
            <w:r>
              <w:t>3 days office / 2 days remote per week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</w:tr>
      <w:tr>
        <w:tc>
          <w:tcPr>
            <w:tcW w:type="dxa" w:w="2880"/>
          </w:tcPr>
          <w:p>
            <w:r>
              <w:t>Fully Remote</w:t>
            </w:r>
          </w:p>
        </w:tc>
        <w:tc>
          <w:tcPr>
            <w:tcW w:type="dxa" w:w="2880"/>
          </w:tcPr>
          <w:p>
            <w:r>
              <w:t>5 days remote, quarterly office visits</w:t>
            </w:r>
          </w:p>
        </w:tc>
        <w:tc>
          <w:tcPr>
            <w:tcW w:type="dxa" w:w="2880"/>
          </w:tcPr>
          <w:p>
            <w:r>
              <w:t>VP + HR</w:t>
            </w:r>
          </w:p>
        </w:tc>
      </w:tr>
      <w:tr>
        <w:tc>
          <w:tcPr>
            <w:tcW w:type="dxa" w:w="2880"/>
          </w:tcPr>
          <w:p>
            <w:r>
              <w:t>Temporary Remote</w:t>
            </w:r>
          </w:p>
        </w:tc>
        <w:tc>
          <w:tcPr>
            <w:tcW w:type="dxa" w:w="2880"/>
          </w:tcPr>
          <w:p>
            <w:r>
              <w:t>Up to 4 weeks, for personal circumstances</w:t>
            </w:r>
          </w:p>
        </w:tc>
        <w:tc>
          <w:tcPr>
            <w:tcW w:type="dxa" w:w="2880"/>
          </w:tcPr>
          <w:p>
            <w:r>
              <w:t>Manager + HR</w:t>
            </w:r>
          </w:p>
        </w:tc>
      </w:tr>
    </w:tbl>
    <w:p/>
    <w:p>
      <w:pPr>
        <w:pStyle w:val="Heading1"/>
      </w:pPr>
      <w:r>
        <w:t>4. Equipment &amp; Expenses</w:t>
      </w:r>
    </w:p>
    <w:p>
      <w:r>
        <w:t>The company provides a one-time home office stipend of $500 for ergonomic equipment. Monthly internet reimbursement of up to $75 is available upon submission of receipts through the expense system.</w:t>
      </w:r>
    </w:p>
    <w:p>
      <w:pPr>
        <w:pStyle w:val="Heading1"/>
      </w:pPr>
      <w:r>
        <w:t>5. Key Metrics (2025 H1)</w:t>
      </w:r>
    </w:p>
    <w:p>
      <w:r>
        <w:t>Below are key metrics from the first half of 2025:</w:t>
      </w:r>
    </w:p>
    <w:p>
      <w:pPr>
        <w:pStyle w:val="ListBullet"/>
      </w:pPr>
      <w:r>
        <w:t>68% of employees use the Hybrid option</w:t>
      </w:r>
    </w:p>
    <w:p>
      <w:pPr>
        <w:pStyle w:val="ListBullet"/>
      </w:pPr>
      <w:r>
        <w:t>22% are Fully Remote</w:t>
      </w:r>
    </w:p>
    <w:p>
      <w:pPr>
        <w:pStyle w:val="ListBullet"/>
      </w:pPr>
      <w:r>
        <w:t>10% used Temporary Remote at least once</w:t>
      </w:r>
    </w:p>
    <w:p>
      <w:pPr>
        <w:pStyle w:val="ListBullet"/>
      </w:pPr>
      <w:r>
        <w:t>Average employee satisfaction score for remote workers: 4.3/5.0</w:t>
      </w:r>
    </w:p>
    <w:p>
      <w:pPr>
        <w:pStyle w:val="ListBullet"/>
      </w:pPr>
      <w:r>
        <w:t>Productivity metrics show no significant difference between remote and in-office work</w:t>
      </w:r>
    </w:p>
    <w:p>
      <w:pPr>
        <w:pStyle w:val="Heading1"/>
      </w:pPr>
      <w:r>
        <w:t>6. Contact</w:t>
      </w:r>
    </w:p>
    <w:p>
      <w:r>
        <w:t>For questions about this policy, contact hr-support@companyx.com or visit the Policy Copilot at http://copilot.internal.companyx.com.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