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Hydration Serum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sz w:val="18"/>
          <w:szCs w:val="18"/>
          <w:rtl w:val="0"/>
        </w:rPr>
        <w:t xml:space="preserve">…,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this Hydration Serum is formulated using Hyaluronic Acid (HA) which is 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derived from an all-natural fermentation and purification process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.  HA has the ability to hold up to 1,000 times it’s weight in water, making it an excellent hydrator for our skin.  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color w:val="dd7e6b"/>
          <w:highlight w:val="white"/>
          <w:rtl w:val="0"/>
        </w:rPr>
        <w:t xml:space="preserve">To use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, place ⅓ of a dropper of the Hydration Serum onto the back of your hand and take your finger into the Serum and massage the Serum into your skin.  </w:t>
      </w:r>
    </w:p>
    <w:p w:rsidR="00000000" w:rsidDel="00000000" w:rsidP="00000000" w:rsidRDefault="00000000" w:rsidRPr="00000000" w14:paraId="00000006">
      <w:pPr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This Hydration Serum has been designed to work in conjunction with our Oil Serum to moisturise and hydrate your skin for best results.  </w:t>
      </w:r>
    </w:p>
    <w:p w:rsidR="00000000" w:rsidDel="00000000" w:rsidP="00000000" w:rsidRDefault="00000000" w:rsidRPr="00000000" w14:paraId="00000008">
      <w:pPr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Use only in conjunction with an Oil Serum otherwise it can have a drying effect upon the skin.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