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Population-Frequency Tension and Clinical Reclassification Risk Prioritization in ClinVar Pathogenic Arrhythmia Variants</w:t>
      </w:r>
    </w:p>
    <w:p>
      <w:pPr>
        <w:pStyle w:val="Heading1"/>
      </w:pPr>
      <w:r>
        <w:t>Abstract</w:t>
      </w:r>
    </w:p>
    <w:p>
      <w:r>
        <w:rPr>
          <w:b/>
        </w:rPr>
        <w:t>Purpose:</w:t>
      </w:r>
      <w:r>
        <w:t xml:space="preserve"> Clinical variant databases are widely used to support rare disease interpretation, but the relationship between clinically cataloged variants and population allele-frequency spectra remains incompletely characterized. We examined this relationship for inherited arrhythmia-associated variants by cross-referencing ClinVar pathogenic/likely pathogenic (P/LP) variants across 20 canonical arrhythmia genes with gnomAD v4.1.1 exome and ancestry-specific data, and developed a clinical reclassification risk prioritization framework designed to reduce false-positive variant re-evaluation burden in clinical genomics workflows.</w:t>
      </w:r>
    </w:p>
    <w:p>
      <w:r>
        <w:rPr>
          <w:b/>
        </w:rPr>
        <w:t>Methods:</w:t>
      </w:r>
      <w:r>
        <w:t xml:space="preserve"> After collapsing ClinVar records to unique variant-level entries and applying quality control, 1,731 P/LP variants were evaluated against gnomAD exomes. Exact allele matches, allele discordance at the same genomic position, and variants with no gnomAD record were separated explicitly. We assessed global and ancestry-specific AF, allele count (AC), variant type, gene-level frequency constraint, ClinVar review strength, technical detectability, exome-vs-genome sensitivity, and KCNH2-specific non-overlap diagnostics. We then formalized these features as VITAL (Variant Interpretation Tension and Allele Load), a 0-100 clinical reclassification risk score incorporating global AF, popmax AF, AC reliability, popmax enrichment, variant type, gene-specific constraint, technical detectability, and review fragility. Variants without frequency evidence were not assigned AF=0; they were carried forward under explicit gray no-frequency-evidence labels. VITAL was evaluated as a decision-support workflow and pathogenicity tension continuum for prioritizing human review, not as an automated classifier. Weight-profile sensitivity, historical threshold calibration, targeted external-domain stress tests, and an independent 3,000-variant cross-disease ClinVar P/LP portability validation were performed without outcome refitting.</w:t>
      </w:r>
    </w:p>
    <w:p>
      <w:r>
        <w:rPr>
          <w:b/>
        </w:rPr>
        <w:t>Results:</w:t>
      </w:r>
      <w:r>
        <w:t xml:space="preserve"> Of 1,731 arrhythmia P/LP variants, 350 (20.2%) had exact allele-level gnomAD matches and 334 (19.3%) had usable exact AF data. Among AF-covered variants, 321/334 (96.1%) had global AF &lt;=1e-5, 12/334 (3.6%) had global AF between 1e-5 and 1e-4, and 1/334 (0.3%) exceeded 1e-4. Popmax analysis identified 115 variants with global or population-specific AF &gt;1e-5, compared with only 13 variants detected by global AF alone. Among 328 variants with complete popmax data, 102 (31.1%) were globally rare but population-enriched. Indels were significantly enriched in the non-overlap set (47.2% vs 28.9% of exact matches; OR=2.20; BH q=1.08e-9). Absence was variant-type biased: exact AF evidence was available for 238/970 SNVs (24.5%) but only 71/529 deletions (13.4%; p=2.36e-7 vs SNVs) and 21/194 duplications (10.8%; p=1.16e-5 vs SNVs), supporting the conclusion that absence from gnomAD is not equivalent to rarity for structurally complex variants. A naive popmax/global AF &gt;1e-5 screen flagged 115 variants, whereas the AC-supported frequency screen flagged 9 and VITAL red prioritized 3 variants, a 97.4% reduction in actionable calls. In the independent 3,000-variant current cross-disease validation set, selected outside arrhythmia and previous external-panel genes, naive AF screening flagged 332 variants (11.1%; 95% CI 10.0%-12.2%), whereas VITAL red flagged 3 (0.10%; 95% CI 0.034%-0.294%), a 110.7-fold compression in urgent review calls. In the matched 3,000-variant January 2023 historical cross-disease sample, VITAL red captured only 1/23 strict P/LP-to-B/LB-or-VUS events (4.3% recall; 95% CI 0.8%-21.0%), demonstrating that VITAL red is not a sensitive predictor of future strict reclassification; specificity remained 99.6%. The expanded instability endpoint showed 11/13 red events (84.6%; 95% CI 57.8%-95.7%) with 99.9% specificity, supporting use as a narrow audit/enrichment layer rather than as a prediction model. LOF subtype analysis showed non-equivalent behavior across frameshift, stop_gained, and canonical_splice assertions; high-tension variants included 2 frameshift variants, 1 stop_gained variant, and 1 canonical_splice variant. Weight sensitivity generated no new red variants; SCN5A was anchor, TRDN near-stable, and KCNH2 borderline. In a proxy operational benchmark intended primarily to measure false-positive re-evaluation burden, VITAL red produced 0 false-positive calls among 109 high-confidence retained-P/LP proxy variants, while the naive popmax/global AF screen produced 53; perfect precision/recall values in this benchmark reflect design concordance, not independent clinical accuracy. Historical analyses were retained as secondary audit layers rather than primary validation: strict reclassification remained rare and poorly captured, while broad/expanded instability endpoints provided qualitative directional enrichment. External stress tests assessed false-positive burden outside the arrhythmia context; absence of red calls in small disease panels cannot be interpreted as sensitivity evidence.</w:t>
      </w:r>
    </w:p>
    <w:p>
      <w:r>
        <w:rPr>
          <w:b/>
        </w:rPr>
        <w:t>Conclusion:</w:t>
      </w:r>
      <w:r>
        <w:t xml:space="preserve"> Clinically cataloged arrhythmia P/LP variants are strongly concentrated at ultra-rare population frequencies, but population-frequency interpretation is shaped by ancestry, AC reliability, variant type, gene context, technical detectability, and review quality. VITAL converts frequency-based contradictions into a pathogenicity tension continuum and a short, auditable clinical reclassification risk queue rather than a black-box reclassification rule. As of the April 21, 2026 data freeze, the framework highlighted three arrhythmia P/LP assertions for expert review while suppressing more than 100 naive AF alerts. Independent cross-disease validation supports portability as a high-specificity, low-recall workflow-prioritization strategy, not as a future-reclassification prediction engine; its intended clinical value is reducing false-positive re-evaluation burden, preserving explicit no-frequency-evidence states, and leaving final clinical decision-making with qualified reviewers.</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were chosen to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These weights should not be assumed to transfer unchanged to other disease areas; disease-specific implementations require local calibration or, at minimum, explicit weight-sensitivity reporting. A minimal implementation protocol is to (1) freeze the target gene list, disease mechanism, and intended clinical use; (2) run the primary VITAL profile and prespecified alternative weight profiles on local or disease-specific variant sets; (3) report red-queue size, retained/gained/lost red variants, and proxy false-positive burden under each profile; (4) choose an operational threshold based on review capacity and acceptable burden before outcome testing; and (5) lock and version the weights, AC gate, and threshold before prospective or release-to-release monitoring.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 actionability label was not defined by the score alone. A red call required VITAL &gt;=70, weak review support, and AC-supported frequency evidence at the operational AC gate. The threshold 70 was chosen as a clinical review-capacity gate rather than an enrichment-optimized cutoff: in the current operational sweep, cutoffs of 65 and 70 both removed proxy false-positive re-evaluation calls while preserving the full red-core recall, whereas 75 and 80 produced smaller but less sensitive queues. The historical broad-endpoint enrichment was numerically higher at 80, but that result was based on a sparse 1/1 red event and was not used to refit the threshold. In clinical workflow terms, 70 marks the point where multiple independent tension axes align strongly enough to justify immediate human review; 80 can be treated as an optional ultra-high-priority subqueue for laboratories with lower review capacity. Variants without exact usable frequency evidence were not scored as zero-frequency variants; they were assigned the gray no-frequency-evidence band.</w:t>
      </w:r>
    </w:p>
    <w:p>
      <w:r>
        <w:t>The final score is reported with component-level breakdowns for explainability. Bands were defined as green frequency-consistent, blue low-support signal, yellow watchlist, orange high-tension, red reclassification-priority, and gray no-frequency-evidence. A VITAL red call requires a high VITAL score, AC-supported frequency evidence, and weak review support. Thus, red is a review-priority label, not a clinical benign classification.</w:t>
      </w:r>
    </w:p>
    <w:p>
      <w:r>
        <w:t>Conceptually, VITAL defines a variant pathogenicity tension continuum rather than a binary filter. Each variant is positioned in a multidimensional discordance space spanning population frequency, AC reliability, ancestry enrichment, review fragility, gene context, variant representation, and predicted functional severity. In the present implementation, functional context is represented lightly using HGVS-derived functional class and the internal gene-frequency constraint proxy. Future implementations could add orthogonal functional axes such as MAVE scores where available, gene constraint metrics such as LOEUF or missense Z, and protein-domain or transcript-specific annotations. We did not use these external functional resources in the current analysis because coverage across the arrhythmia variant set is incomplete; they are proposed as natural extensions of the same continuum framework.</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This matters because a frequency that is implausible for a fully penetrant dominant heterozygous disorder may be compatible with a recessive disease allele in carriers. Inheritance-aware deployment should therefore stratify red and orange calls by disease mechanism before action: dominant/high-penetrance assertions can move directly to expert re-review, whereas recessive heterozygous LOF or founder alleles should be routed to genotype/phenotype, zygosity, and disease-mechanism review before any classification change is considered.</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 actionability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197787"/>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197787"/>
                    </a:xfrm>
                    <a:prstGeom prst="rect"/>
                  </pic:spPr>
                </pic:pic>
              </a:graphicData>
            </a:graphic>
          </wp:inline>
        </w:drawing>
      </w:r>
    </w:p>
    <w:p>
      <w:pPr>
        <w:jc w:val="center"/>
      </w:pPr>
      <w:r>
        <w:rPr>
          <w:i/>
          <w:sz w:val="18"/>
        </w:rPr>
        <w:t>Figure 1. VITAL clinical workflow.</w:t>
      </w:r>
    </w:p>
    <w:p/>
    <w:p>
      <w:r>
        <w:t>The AC threshold is applied as an actionability filter, not as part of the scoring function. This design separates signal detection (the VITAL score) from operational decision thresholds (the AC gate). To evaluate threshold sensitivity, we repeated current and historical analyses with AC gates of &gt;=5, &gt;=10, &gt;=20, and &gt;=50, recording both the number of flags and the composition of the VITAL-red set at each threshold. Variants entering or leaving the red set were explicitly tracked relative to the prespecified AC&gt;=20 gate.</w:t>
      </w:r>
    </w:p>
    <w:p>
      <w:r>
        <w:t>To evaluate sensitivity to expert-specified component weights, we recalculated VITAL scores under five alternative weighting profiles without refitting to outcomes: balanced equal components, frequency-dominant, review-fragility-dominant, technical-detectability-dominant, and reduced-AF-pressure. For each profile, component scores were normalized to their original maxima and rescaled to the alternative maxima, then red calls were recomputed using the same score &gt;=70, AC-supported frequency, and weak-review gate. We recorded red-set overlap with the primary model, gained/lost red variants, compression versus naive AF screening, proxy false-positive burden, and Spearman rank correlation with the primary score.</w:t>
      </w:r>
    </w:p>
    <w:p>
      <w:r>
        <w:t>For release-to-release queue stability, we compared the composition of VITAL-red sets across the January 2023 and April 2026 arrhythmia snapshots by exact VCV identifier and variant key where available. We recorded retained, gained, and lost red records, recognizing that new ClinVar submissions, changed classifications, allele-level representation changes, and gnomAD AC updates can all change queue membership. With only two historical time points, this analysis is descriptive and cannot estimate a quarterly or annual turnover rate; it is intended to make queue volatility visible.</w:t>
      </w:r>
    </w:p>
    <w:p>
      <w:r>
        <w:t>For historical threshold calibration, we evaluated score cutoffs from 40 to 95 in two modes: score-only and red-gate-compatible. The red-gate-compatible mode applied the same operational actionability gate as the validator: score threshold, AC-supported frequency evidence, and weak review. Calibration QA retained both the field-mapping-inconsistent run and the corrected run. The initial calibration run produced zero red-gate-compatible flags because weak_review_signal was absent from the historical prediction table and defaulted to false. The corrected calibration derived weak review from review_score &lt;=1 or submitter_count &lt;=1; it also falls back to max_frequency_signal &gt;1e-5 plus qualifying_frequency_ac &gt;=20 when frequency_signal_ac_ge_20 is absent. This independent field-mapping check was treated as a reproducibility audit, not as a model change.</w:t>
      </w:r>
    </w:p>
    <w:p>
      <w:pPr>
        <w:pStyle w:val="Heading2"/>
      </w:pPr>
      <w:r>
        <w:t>Operational proxy benchmark and threshold sweep</w:t>
      </w:r>
    </w:p>
    <w:p>
      <w:r>
        <w:t>Because prospective truth labels are unavailable for current ClinVar assertions, we defined an operational proxy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VITAL's red actionability gate. Its purpose is narrower: to compare how much review burden different frequency screens would generate in the same operational universe. We therefore interpret precision/recall and ROC/PR curves as workflow diagnostics, not as definitive estimates of clinical accuracy. In particular, precision=1.00 and recall=1.00 in this benchmark should be understood as design-concordance metrics under a proxy label definition, not as evidence that VITAL has perfect clinical performance. We compared VITAL red against baseline frequency screens using TP, FP, FN, TN, precision, recall, specificity, false-positive rate, and false-negative rate. A threshold sweep evaluated score cutoffs from 40 to 95.</w:t>
      </w:r>
    </w:p>
    <w:p>
      <w:pPr>
        <w:pStyle w:val="Heading2"/>
      </w:pPr>
      <w:r>
        <w:t>Historical reclassification enrichment analysis</w:t>
      </w:r>
    </w:p>
    <w:p>
      <w:r>
        <w:t>To audit future ClinVar instability without presenting VITAL as a prediction model, we downloaded the January 2023 ClinVar variant_summary archive and scored baseline P/LP variants using the same VITAL framework.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We reported ROC AUC, average precision, method-comparison tables, threshold sweeps, precision/recall, and enrichment of future events among VITAL-red variants. Given the small number of red variants, the historical analysis was interpreted qualitatively as a sparse enrichment test rather than as a stable effect-size estimate or definitive proof of predictive performance. To make this instability explicit, we performed a one-event perturbation analysis showing how the apparent enrichment changes if one red event is added, removed, or replaced by a non-event.</w:t>
      </w:r>
    </w:p>
    <w:p>
      <w:r>
        <w:t>We also performed an exploratory historical calibration analysis to test whether the prespecified VITAL red cutoff of 70 coincided with the threshold that maximized enrichment in the 2023-to-2026 data. This analysis was explicitly not used to refit the score threshold. Because the red set is intentionally small, maxima across thresholds were interpreted as descriptive stress tests rather than evidence for an optimized predictive model.</w:t>
      </w:r>
    </w:p>
    <w:p>
      <w:r>
        <w:t>For the expanded multi-domain analysis, metrics were calculated in two ways: within each domain and after pooled deduplication. This separation was prespecified because disease architecture, baseline reclassification rate, and likely error mechanisms differ across arrhythmia, cardiomyopathy, epilepsy, hearing loss, and random ClinVar records. Pooled deduplication was performed only after within-domain sanity checks. Within each domain, duplicate variation IDs or duplicate variant keys would be collapsed by retaining the row with the highest VITAL score. For pooled analysis, cross-domain duplicates were resolved using a fixed domain priority (arrhythmia &gt; cardiomyopathy &gt; epilepsy &gt; hearing loss &gt; random ClinVar P/LP), with maximum VITAL score used only as a tie-breaker within the same priority level. Dedupe decision tables recorded variation_id, domains_present, kept_domain, dropped_domains, and reason_kept. Stratified bootstrap resampled rows within each domain after deduplication; because red variants remained sparse, bootstrap summaries were interpreted as binary-noise sensitivity checks rather than smooth effect-size estimators.</w:t>
      </w:r>
    </w:p>
    <w:p>
      <w:pPr>
        <w:pStyle w:val="Heading2"/>
      </w:pPr>
      <w:r>
        <w:t>External-domain stress tests and descriptive comparator</w:t>
      </w:r>
    </w:p>
    <w:p>
      <w:r>
        <w:t>To evaluate whether VITAL overfits to arrhythmia genes, we ran small external stress tests on three disease domains and one random ClinVar P/LP sample. Panels were intentionally limited to approximately 300 variants per domain for speed and interpretability:</w:t>
      </w:r>
    </w:p>
    <w:p>
      <w:pPr>
        <w:pStyle w:val="ListBullet"/>
      </w:pPr>
      <w:r>
        <w:t>cardiomyopathy genes: MYH7, MYBPC3, TNNT2, TNNI3, TPM1, ACTC1, MYL2, MYL3, LMNA, FLNC, PLN, DSP, PKP2, DSG2, DSC2.</w:t>
      </w:r>
    </w:p>
    <w:p>
      <w:pPr>
        <w:pStyle w:val="ListBullet"/>
      </w:pPr>
      <w:r>
        <w:t>epilepsy genes: SCN1A, SCN2A, SCN8A, KCNQ2, KCNQ3, STXBP1, CDKL5, PCDH19, SLC2A1, GABRA1, GABRG2, DEPDC5.</w:t>
      </w:r>
    </w:p>
    <w:p>
      <w:pPr>
        <w:pStyle w:val="ListBullet"/>
      </w:pPr>
      <w:r>
        <w:t>hearing-loss genes: GJB2, GJB6, SLC26A4, MYO7A, OTOF, TECTA, TMC1, CDH23, USH2A, MYO15A.</w:t>
      </w:r>
    </w:p>
    <w:p>
      <w:pPr>
        <w:pStyle w:val="ListBullet"/>
      </w:pPr>
      <w:r>
        <w:t>random ClinVar P/LP sample: 500 variants sampled outside the fixed arrhythmia panel.</w:t>
      </w:r>
    </w:p>
    <w:p>
      <w:r>
        <w:t>The existing BRCA1, BRCA2, MLH1, and APC cache was retained as a non-arrhythmia descriptive comparator, not as a definitive negative control. These cancer-predisposition genes have incomplete penetrance, founder effects, and disease-mechanism differences that make them methodologically imperfect as a clean external validation set for arrhythmia interpretation. We therefore use this panel only to ask whether VITAL generates an obvious high-score tail in a familiar non-arrhythmia Mendelian context. These external analyses were designed as false-positive-burden and portability stress tests, not sensitivity analyses: without independent truth labels in these domains, absence of VITAL-red calls cannot establish that no true reclassification candidates were missed.</w:t>
      </w:r>
    </w:p>
    <w:p>
      <w:r>
        <w:t>We then performed a larger independent cross-disease portability validation using 3,000 randomly sampled ClinVar P/LP variants outside the arrhythmia development genes and outside the previously used cardiomyopathy, epilepsy, and hearing-loss external panels. The sample had two prespecified strata. First, 2,000 variants were sampled from the top 100 genes by number of ClinVar P/LP submissions after exclusions; this top-100 definition was based only on ClinVar P/LP count, not on clinical importance. Second, 1,000 variants were sampled from the remaining non-arrhythmia, non-external-panel ClinVar P/LP pool. The same design was repeated for the archived January 2023 ClinVar snapshot and compared with the April 21, 2026 current snapshot for historical endpoint analysis. Sanity checks explicitly tested for arrhythmia gene leakage, overlap with the previous external panels, duplicate variation IDs, and duplicate variant keys. These cross-disease analyses were treated as portability and false-positive-burden validation. The current 2026 sample does not contain independent truth labels; the 2023-to-2026 historical sample provides independent strict and expanded endpoints, but those endpoints remain sparse and heterogeneous across disease mechanisms.</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VITAL red prioritized 3 variants, representing a 97.4% reduction in action-priority calls relative to the 115 naive AF flags.</w:t>
      </w:r>
    </w:p>
    <w:p>
      <w:pPr>
        <w:pStyle w:val="Heading2"/>
      </w:pPr>
      <w:r>
        <w:t>Operational proxy benchmark against baseline frequency screens</w:t>
      </w:r>
    </w:p>
    <w:p>
      <w:r>
        <w:t>The operational proxy benchmark tested whether VITAL reduces re-evaluation burden relative to baseline frequency screens. It should not be read as independent clinical validation: the positive class was defined using weak review and AC-supported frequency evidence, which also contribute to VITAL's red actionability label. This circularity inflates the apparent precision/recall of VITAL red relative to what would be expected in a fully independent truth set. The resulting precision=1.00 and recall=1.00 are therefore artifacts of design concordance under this proxy task, not estimates of clinical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VITAL red had 3 true positives, 0 false positives, 0 false negatives, and 109 true negatives, with precision 1.00 (95% CI 0.44-1.00), recall 1.00 (95% CI 0.44-1.00), specificity 1.00 (95% CI 0.966-1.00), and false-positive rate 0.00 (95% CI 0.00-0.034). The intervals are wide for precision and recall because only three operational positives exist. The popmax/global AF &gt;1e-5 baseline had the same recall but produced 53 false positives, with precision 0.054 (95% CI 0.018-0.146) and false-positive rate 0.486 (95% CI 0.394-0.579). The AF &gt;1e-5 plus AC &gt;=20 baseline still produced 6 false positives.</w:t>
      </w:r>
    </w:p>
    <w:p>
      <w:r>
        <w:t>The threshold sweep showed that this result was not dependent on a single brittle cutoff. At VITAL score &gt;=60, recall remained 1.00 with 2 false positives. At cutoffs of 65 and 70, precision and recall were both 1.00 with 0 false positives. At cutoffs &gt;=75, precision remained 1.00 but recall fell to 0.33.</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VITAL red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operational benchmark, the naive popmax/global AF &gt;1e-5 screen produced 53 false positives among 109 high-confidence retained-P/LP proxy negatives, whereas VITAL red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were VITAL red. At AC&gt;=10, 15 variants had AC-supported signals and the same 4 were VITAL red. At the prespecified AC&gt;=20 threshold, 9 variants had AC-supported signals and 3 were VITAL red. At AC&gt;=50, only 3 variants had AC-supported signals and 1 remained VITAL red.</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VITAL-red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red</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VITAL-red despite a classically severe predicted consequence, with AMR popmax AF=2.18e-4 and global AC=40. A second TRDN frameshift, VCV001074440, reached the high-tension band but did not pass the red actionability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VITAL red variants and explainable case-level prioritization</w:t>
      </w:r>
    </w:p>
    <w:p>
      <w:r>
        <w:t>The three VITAL-red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2"/>
      </w:pPr>
      <w:r>
        <w:t>Live manual-review snapshot of VITAL-red variants</w:t>
      </w:r>
    </w:p>
    <w:p>
      <w:r>
        <w:t>To close the loop between scoring and clinical review, we manually rechecked the three VITAL-red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2"/>
      </w:pPr>
      <w:r>
        <w:t>Single-variant output example for clinical users</w:t>
      </w:r>
    </w:p>
    <w:p>
      <w:r>
        <w:t>For a one-variant clinical use case, the output should be read as a review summary rather than as an automated classification. SCN5A VCV000440850 illustrates the intended presentation:</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Output field</w:t>
            </w:r>
          </w:p>
        </w:tc>
        <w:tc>
          <w:tcPr>
            <w:tcW w:type="dxa" w:w="5184"/>
            <w:vAlign w:val="top"/>
            <w:shd w:fill="D9EAF7"/>
          </w:tcPr>
          <w:p>
            <w:pPr>
              <w:jc w:val="left"/>
            </w:pPr>
            <w:r/>
            <w:r>
              <w:rPr>
                <w:b/>
                <w:sz w:val="16"/>
              </w:rPr>
              <w:t>Example value</w:t>
            </w:r>
          </w:p>
        </w:tc>
      </w:tr>
      <w:tr>
        <w:tc>
          <w:tcPr>
            <w:tcW w:type="dxa" w:w="5184"/>
            <w:vAlign w:val="top"/>
          </w:tcPr>
          <w:p>
            <w:pPr>
              <w:jc w:val="left"/>
            </w:pPr>
            <w:r/>
            <w:r>
              <w:rPr>
                <w:b w:val="0"/>
                <w:sz w:val="16"/>
              </w:rPr>
              <w:t>Human-readable summary</w:t>
            </w:r>
          </w:p>
        </w:tc>
        <w:tc>
          <w:tcPr>
            <w:tcW w:type="dxa" w:w="5184"/>
            <w:vAlign w:val="top"/>
          </w:tcPr>
          <w:p>
            <w:pPr>
              <w:jc w:val="left"/>
            </w:pPr>
            <w:r/>
            <w:r>
              <w:rPr>
                <w:b w:val="0"/>
                <w:sz w:val="16"/>
              </w:rPr>
              <w:t>VITAL red: high AFR popmax frequency, high allele count support, weak ClinVar review; urgent expert review recommended, not automatic benign classification.</w:t>
            </w:r>
          </w:p>
        </w:tc>
      </w:tr>
      <w:tr>
        <w:tc>
          <w:tcPr>
            <w:tcW w:type="dxa" w:w="5184"/>
            <w:vAlign w:val="top"/>
          </w:tcPr>
          <w:p>
            <w:pPr>
              <w:jc w:val="left"/>
            </w:pPr>
            <w:r/>
            <w:r>
              <w:rPr>
                <w:b w:val="0"/>
                <w:sz w:val="16"/>
              </w:rPr>
              <w:t>Current ClinVar assertion</w:t>
            </w:r>
          </w:p>
        </w:tc>
        <w:tc>
          <w:tcPr>
            <w:tcW w:type="dxa" w:w="5184"/>
            <w:vAlign w:val="top"/>
          </w:tcPr>
          <w:p>
            <w:pPr>
              <w:jc w:val="left"/>
            </w:pPr>
            <w:r/>
            <w:r>
              <w:rPr>
                <w:b w:val="0"/>
                <w:sz w:val="16"/>
              </w:rPr>
              <w:t>Pathogenic; no assertion criteria provided; single submission.</w:t>
            </w:r>
          </w:p>
        </w:tc>
      </w:tr>
      <w:tr>
        <w:tc>
          <w:tcPr>
            <w:tcW w:type="dxa" w:w="5184"/>
            <w:vAlign w:val="top"/>
          </w:tcPr>
          <w:p>
            <w:pPr>
              <w:jc w:val="left"/>
            </w:pPr>
            <w:r/>
            <w:r>
              <w:rPr>
                <w:b w:val="0"/>
                <w:sz w:val="16"/>
              </w:rPr>
              <w:t>Frequency evidence</w:t>
            </w:r>
          </w:p>
        </w:tc>
        <w:tc>
          <w:tcPr>
            <w:tcW w:type="dxa" w:w="5184"/>
            <w:vAlign w:val="top"/>
          </w:tcPr>
          <w:p>
            <w:pPr>
              <w:jc w:val="left"/>
            </w:pPr>
            <w:r/>
            <w:r>
              <w:rPr>
                <w:b w:val="0"/>
                <w:sz w:val="16"/>
              </w:rPr>
              <w:t>global AF=1.46e-4, global AC=214; AFR popmax AF=5.68e-3, popmax AC=190.</w:t>
            </w:r>
          </w:p>
        </w:tc>
      </w:tr>
      <w:tr>
        <w:tc>
          <w:tcPr>
            <w:tcW w:type="dxa" w:w="5184"/>
            <w:vAlign w:val="top"/>
          </w:tcPr>
          <w:p>
            <w:pPr>
              <w:jc w:val="left"/>
            </w:pPr>
            <w:r/>
            <w:r>
              <w:rPr>
                <w:b w:val="0"/>
                <w:sz w:val="16"/>
              </w:rPr>
              <w:t>VITAL component breakdown</w:t>
            </w:r>
          </w:p>
        </w:tc>
        <w:tc>
          <w:tcPr>
            <w:tcW w:type="dxa" w:w="5184"/>
            <w:vAlign w:val="top"/>
          </w:tcPr>
          <w:p>
            <w:pPr>
              <w:jc w:val="left"/>
            </w:pPr>
            <w:r/>
            <w:r>
              <w:rPr>
                <w:b w:val="0"/>
                <w:sz w:val="16"/>
              </w:rPr>
              <w:t>AF pressure 45.0/45; AC reliability 20.0/20; popmax enrichment 7.9/10; variant-type tension 0.0/6; technical detectability 6.5/8; gene constraint 6.6/10; review fragility 10.0/10.</w:t>
            </w:r>
          </w:p>
        </w:tc>
      </w:tr>
      <w:tr>
        <w:tc>
          <w:tcPr>
            <w:tcW w:type="dxa" w:w="5184"/>
            <w:vAlign w:val="top"/>
          </w:tcPr>
          <w:p>
            <w:pPr>
              <w:jc w:val="left"/>
            </w:pPr>
            <w:r/>
            <w:r>
              <w:rPr>
                <w:b w:val="0"/>
                <w:sz w:val="16"/>
              </w:rPr>
              <w:t>Interpretation for workflow</w:t>
            </w:r>
          </w:p>
        </w:tc>
        <w:tc>
          <w:tcPr>
            <w:tcW w:type="dxa" w:w="5184"/>
            <w:vAlign w:val="top"/>
          </w:tcPr>
          <w:p>
            <w:pPr>
              <w:jc w:val="left"/>
            </w:pPr>
            <w:r/>
            <w:r>
              <w:rPr>
                <w:b w:val="0"/>
                <w:sz w:val="16"/>
              </w:rPr>
              <w:t>The variant enters the immediate re-review queue because the frequency contradiction is AC-supported and the public assertion is review-fragile. The reviewer must still assess phenotype, inheritance, segregation, functional literature, haplotype/drug-response context, and laboratory policy.</w:t>
            </w:r>
          </w:p>
        </w:tc>
      </w:tr>
    </w:tbl>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4" name="Picture 4"/>
            <wp:cNvGraphicFramePr>
              <a:graphicFrameLocks noChangeAspect="1"/>
            </wp:cNvGraphicFramePr>
            <a:graphic>
              <a:graphicData uri="http://schemas.openxmlformats.org/drawingml/2006/picture">
                <pic:pic>
                  <pic:nvPicPr>
                    <pic:cNvPr id="0" name="arrhythmia_review_fragility.png"/>
                    <pic:cNvPicPr/>
                  </pic:nvPicPr>
                  <pic:blipFill>
                    <a:blip r:embed="rId12"/>
                    <a:stretch>
                      <a:fillRect/>
                    </a:stretch>
                  </pic:blipFill>
                  <pic:spPr>
                    <a:xfrm>
                      <a:off x="0" y="0"/>
                      <a:ext cx="6217920" cy="3497580"/>
                    </a:xfrm>
                    <a:prstGeom prst="rect"/>
                  </pic:spPr>
                </pic:pic>
              </a:graphicData>
            </a:graphic>
          </wp:inline>
        </w:drawing>
      </w:r>
    </w:p>
    <w:p>
      <w:pPr>
        <w:jc w:val="center"/>
      </w:pPr>
      <w:r>
        <w:rPr>
          <w:i/>
          <w:sz w:val="18"/>
        </w:rPr>
        <w:t>Figure 4. ClinVar review fragility among frequency-supported signals.</w:t>
      </w:r>
    </w:p>
    <w:p/>
    <w:p>
      <w:r>
        <w:t>Review quality was not hidden inside a black-box score. Of the 9 AC-supported frequency signals, 6 came from multiple-submitter/no-conflict records and were not automatically marked red. All 3 VITAL-red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5" name="Picture 5"/>
            <wp:cNvGraphicFramePr>
              <a:graphicFrameLocks noChangeAspect="1"/>
            </wp:cNvGraphicFramePr>
            <a:graphic>
              <a:graphicData uri="http://schemas.openxmlformats.org/drawingml/2006/picture">
                <pic:pic>
                  <pic:nvPicPr>
                    <pic:cNvPr id="0" name="vital_gray_zone_workflow.png"/>
                    <pic:cNvPicPr/>
                  </pic:nvPicPr>
                  <pic:blipFill>
                    <a:blip r:embed="rId13"/>
                    <a:stretch>
                      <a:fillRect/>
                    </a:stretch>
                  </pic:blipFill>
                  <pic:spPr>
                    <a:xfrm>
                      <a:off x="0" y="0"/>
                      <a:ext cx="6217920" cy="3826190"/>
                    </a:xfrm>
                    <a:prstGeom prst="rect"/>
                  </pic:spPr>
                </pic:pic>
              </a:graphicData>
            </a:graphic>
          </wp:inline>
        </w:drawing>
      </w:r>
    </w:p>
    <w:p>
      <w:pPr>
        <w:jc w:val="center"/>
      </w:pPr>
      <w:r>
        <w:rPr>
          <w:i/>
          <w:sz w:val="18"/>
        </w:rPr>
        <w:t>Figure 5. Workflow for no-frequency-evidence gray variants.</w:t>
      </w:r>
    </w:p>
    <w:p/>
    <w:p>
      <w:r>
        <w:t>The gray no-frequency-evidence band is a managed uncertainty state, not a low-priority or green state.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r>
        <w:t>This analysis is included in the main text as a transparency and reproducibility audit, not as a primary validation claim. Its evidentiary weight is intentionally lower than the current workflow-compression, explainability, and detectability-bias results. The red set is too small for stable inference, and all historical estimates below should be read as secondary, exploratory stress tests.</w:t>
      </w:r>
    </w:p>
    <w:p>
      <w:r>
        <w:t>The January 2023 ClinVar snapshot contained 1,669 baseline arrhythmia P/LP variants suitable for historical validation. By the current 2026 snapshot, 17 met the strict endpoint of P/LP to B/LB or VUS, and 113 met the broader endpoint of P/LP to non-P/LP, conflicting, other, or missing follow-up classification.</w:t>
      </w:r>
    </w:p>
    <w:p>
      <w:r>
        <w:t>VITAL red identified only 2 baseline variants. This small red-set size is a design feature of the framework: VITAL is intended to create a short extreme-priority review queue, not a broad classifier. For the strict endpoint, neither red variant became B/LB or VUS (0/2; 95% CI 0.00-0.66). For the broader endpoint, 1/2 VITAL-red variants later destabilized, compared with 113/1,669 variants overall. Thus, the broad-event rate was 50.0% among VITAL-red variants (95% CI 9.5%-90.5%) versus 6.8% overall (95% CI 5.7%-8.1%), a 7.38-fold enrichment. Compared with non-red variants, the broad-event enrichment was 7.44-fold (95% CI 2.36-23.31). Restricting to the 455 frequency-observed baseline variants gave 1/2 VITAL-red events versus 38/455 overall, a 5.99-fold enrichment and 6.12-fold enrichment versus non-red variants (95% CI 1.87-19.55).</w:t>
      </w:r>
    </w:p>
    <w:p>
      <w:r>
        <w:t>The historical result should therefore be interpreted as exploratory, qualitative enrichment rather than definitive predictive validation. A one-event perturbation analysis illustrates the instability of the apparent fold enrichment: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Scenario</w:t>
            </w:r>
          </w:p>
        </w:tc>
        <w:tc>
          <w:tcPr>
            <w:tcW w:type="dxa" w:w="2592"/>
            <w:vAlign w:val="top"/>
            <w:shd w:fill="D9EAF7"/>
          </w:tcPr>
          <w:p>
            <w:pPr>
              <w:jc w:val="left"/>
            </w:pPr>
            <w:r/>
            <w:r>
              <w:rPr>
                <w:b/>
                <w:sz w:val="16"/>
              </w:rPr>
              <w:t>Red events / red N</w:t>
            </w:r>
          </w:p>
        </w:tc>
        <w:tc>
          <w:tcPr>
            <w:tcW w:type="dxa" w:w="2592"/>
            <w:vAlign w:val="top"/>
            <w:shd w:fill="D9EAF7"/>
          </w:tcPr>
          <w:p>
            <w:pPr>
              <w:jc w:val="left"/>
            </w:pPr>
            <w:r/>
            <w:r>
              <w:rPr>
                <w:b/>
                <w:sz w:val="16"/>
              </w:rPr>
              <w:t>Red event rate</w:t>
            </w:r>
          </w:p>
        </w:tc>
        <w:tc>
          <w:tcPr>
            <w:tcW w:type="dxa" w:w="2592"/>
            <w:vAlign w:val="top"/>
            <w:shd w:fill="D9EAF7"/>
          </w:tcPr>
          <w:p>
            <w:pPr>
              <w:jc w:val="left"/>
            </w:pPr>
            <w:r/>
            <w:r>
              <w:rPr>
                <w:b/>
                <w:sz w:val="16"/>
              </w:rPr>
              <w:t>Fold enrichment vs overall broad-event rate</w:t>
            </w:r>
          </w:p>
        </w:tc>
      </w:tr>
      <w:tr>
        <w:tc>
          <w:tcPr>
            <w:tcW w:type="dxa" w:w="2592"/>
            <w:vAlign w:val="top"/>
          </w:tcPr>
          <w:p>
            <w:pPr>
              <w:jc w:val="left"/>
            </w:pPr>
            <w:r/>
            <w:r>
              <w:rPr>
                <w:b w:val="0"/>
                <w:sz w:val="16"/>
              </w:rPr>
              <w:t>Observed historical result</w:t>
            </w:r>
          </w:p>
        </w:tc>
        <w:tc>
          <w:tcPr>
            <w:tcW w:type="dxa" w:w="2592"/>
            <w:vAlign w:val="top"/>
          </w:tcPr>
          <w:p>
            <w:pPr>
              <w:jc w:val="left"/>
            </w:pPr>
            <w:r/>
            <w:r>
              <w:rPr>
                <w:b w:val="0"/>
                <w:sz w:val="16"/>
              </w:rPr>
              <w:t>1/2</w:t>
            </w:r>
          </w:p>
        </w:tc>
        <w:tc>
          <w:tcPr>
            <w:tcW w:type="dxa" w:w="2592"/>
            <w:vAlign w:val="top"/>
          </w:tcPr>
          <w:p>
            <w:pPr>
              <w:jc w:val="left"/>
            </w:pPr>
            <w:r/>
            <w:r>
              <w:rPr>
                <w:b w:val="0"/>
                <w:sz w:val="16"/>
              </w:rPr>
              <w:t>50.0%</w:t>
            </w:r>
          </w:p>
        </w:tc>
        <w:tc>
          <w:tcPr>
            <w:tcW w:type="dxa" w:w="2592"/>
            <w:vAlign w:val="top"/>
          </w:tcPr>
          <w:p>
            <w:pPr>
              <w:jc w:val="left"/>
            </w:pPr>
            <w:r/>
            <w:r>
              <w:rPr>
                <w:b w:val="0"/>
                <w:sz w:val="16"/>
              </w:rPr>
              <w:t>7.38x</w:t>
            </w:r>
          </w:p>
        </w:tc>
      </w:tr>
      <w:tr>
        <w:tc>
          <w:tcPr>
            <w:tcW w:type="dxa" w:w="2592"/>
            <w:vAlign w:val="top"/>
          </w:tcPr>
          <w:p>
            <w:pPr>
              <w:jc w:val="left"/>
            </w:pPr>
            <w:r/>
            <w:r>
              <w:rPr>
                <w:b w:val="0"/>
                <w:sz w:val="16"/>
              </w:rPr>
              <w:t>If the single red event were absent</w:t>
            </w:r>
          </w:p>
        </w:tc>
        <w:tc>
          <w:tcPr>
            <w:tcW w:type="dxa" w:w="2592"/>
            <w:vAlign w:val="top"/>
          </w:tcPr>
          <w:p>
            <w:pPr>
              <w:jc w:val="left"/>
            </w:pPr>
            <w:r/>
            <w:r>
              <w:rPr>
                <w:b w:val="0"/>
                <w:sz w:val="16"/>
              </w:rPr>
              <w:t>0/2</w:t>
            </w:r>
          </w:p>
        </w:tc>
        <w:tc>
          <w:tcPr>
            <w:tcW w:type="dxa" w:w="2592"/>
            <w:vAlign w:val="top"/>
          </w:tcPr>
          <w:p>
            <w:pPr>
              <w:jc w:val="left"/>
            </w:pPr>
            <w:r/>
            <w:r>
              <w:rPr>
                <w:b w:val="0"/>
                <w:sz w:val="16"/>
              </w:rPr>
              <w:t>0.0%</w:t>
            </w:r>
          </w:p>
        </w:tc>
        <w:tc>
          <w:tcPr>
            <w:tcW w:type="dxa" w:w="2592"/>
            <w:vAlign w:val="top"/>
          </w:tcPr>
          <w:p>
            <w:pPr>
              <w:jc w:val="left"/>
            </w:pPr>
            <w:r/>
            <w:r>
              <w:rPr>
                <w:b w:val="0"/>
                <w:sz w:val="16"/>
              </w:rPr>
              <w:t>0.00x</w:t>
            </w:r>
          </w:p>
        </w:tc>
      </w:tr>
      <w:tr>
        <w:tc>
          <w:tcPr>
            <w:tcW w:type="dxa" w:w="2592"/>
            <w:vAlign w:val="top"/>
          </w:tcPr>
          <w:p>
            <w:pPr>
              <w:jc w:val="left"/>
            </w:pPr>
            <w:r/>
            <w:r>
              <w:rPr>
                <w:b w:val="0"/>
                <w:sz w:val="16"/>
              </w:rPr>
              <w:t>If one additional red event occurred</w:t>
            </w:r>
          </w:p>
        </w:tc>
        <w:tc>
          <w:tcPr>
            <w:tcW w:type="dxa" w:w="2592"/>
            <w:vAlign w:val="top"/>
          </w:tcPr>
          <w:p>
            <w:pPr>
              <w:jc w:val="left"/>
            </w:pPr>
            <w:r/>
            <w:r>
              <w:rPr>
                <w:b w:val="0"/>
                <w:sz w:val="16"/>
              </w:rPr>
              <w:t>2/2</w:t>
            </w:r>
          </w:p>
        </w:tc>
        <w:tc>
          <w:tcPr>
            <w:tcW w:type="dxa" w:w="2592"/>
            <w:vAlign w:val="top"/>
          </w:tcPr>
          <w:p>
            <w:pPr>
              <w:jc w:val="left"/>
            </w:pPr>
            <w:r/>
            <w:r>
              <w:rPr>
                <w:b w:val="0"/>
                <w:sz w:val="16"/>
              </w:rPr>
              <w:t>100.0%</w:t>
            </w:r>
          </w:p>
        </w:tc>
        <w:tc>
          <w:tcPr>
            <w:tcW w:type="dxa" w:w="2592"/>
            <w:vAlign w:val="top"/>
          </w:tcPr>
          <w:p>
            <w:pPr>
              <w:jc w:val="left"/>
            </w:pPr>
            <w:r/>
            <w:r>
              <w:rPr>
                <w:b w:val="0"/>
                <w:sz w:val="16"/>
              </w:rPr>
              <w:t>14.77x</w:t>
            </w:r>
          </w:p>
        </w:tc>
      </w:tr>
      <w:tr>
        <w:tc>
          <w:tcPr>
            <w:tcW w:type="dxa" w:w="2592"/>
            <w:vAlign w:val="top"/>
          </w:tcPr>
          <w:p>
            <w:pPr>
              <w:jc w:val="left"/>
            </w:pPr>
            <w:r/>
            <w:r>
              <w:rPr>
                <w:b w:val="0"/>
                <w:sz w:val="16"/>
              </w:rPr>
              <w:t>If one additional red non-event were included</w:t>
            </w:r>
          </w:p>
        </w:tc>
        <w:tc>
          <w:tcPr>
            <w:tcW w:type="dxa" w:w="2592"/>
            <w:vAlign w:val="top"/>
          </w:tcPr>
          <w:p>
            <w:pPr>
              <w:jc w:val="left"/>
            </w:pPr>
            <w:r/>
            <w:r>
              <w:rPr>
                <w:b w:val="0"/>
                <w:sz w:val="16"/>
              </w:rPr>
              <w:t>1/3</w:t>
            </w:r>
          </w:p>
        </w:tc>
        <w:tc>
          <w:tcPr>
            <w:tcW w:type="dxa" w:w="2592"/>
            <w:vAlign w:val="top"/>
          </w:tcPr>
          <w:p>
            <w:pPr>
              <w:jc w:val="left"/>
            </w:pPr>
            <w:r/>
            <w:r>
              <w:rPr>
                <w:b w:val="0"/>
                <w:sz w:val="16"/>
              </w:rPr>
              <w:t>33.3%</w:t>
            </w:r>
          </w:p>
        </w:tc>
        <w:tc>
          <w:tcPr>
            <w:tcW w:type="dxa" w:w="2592"/>
            <w:vAlign w:val="top"/>
          </w:tcPr>
          <w:p>
            <w:pPr>
              <w:jc w:val="left"/>
            </w:pPr>
            <w:r/>
            <w:r>
              <w:rPr>
                <w:b w:val="0"/>
                <w:sz w:val="16"/>
              </w:rPr>
              <w:t>4.92x</w:t>
            </w:r>
          </w:p>
        </w:tc>
      </w:tr>
      <w:tr>
        <w:tc>
          <w:tcPr>
            <w:tcW w:type="dxa" w:w="2592"/>
            <w:vAlign w:val="top"/>
          </w:tcPr>
          <w:p>
            <w:pPr>
              <w:jc w:val="left"/>
            </w:pPr>
            <w:r/>
            <w:r>
              <w:rPr>
                <w:b w:val="0"/>
                <w:sz w:val="16"/>
              </w:rPr>
              <w:t>If one additional red event and one non-event were included</w:t>
            </w:r>
          </w:p>
        </w:tc>
        <w:tc>
          <w:tcPr>
            <w:tcW w:type="dxa" w:w="2592"/>
            <w:vAlign w:val="top"/>
          </w:tcPr>
          <w:p>
            <w:pPr>
              <w:jc w:val="left"/>
            </w:pPr>
            <w:r/>
            <w:r>
              <w:rPr>
                <w:b w:val="0"/>
                <w:sz w:val="16"/>
              </w:rPr>
              <w:t>2/3</w:t>
            </w:r>
          </w:p>
        </w:tc>
        <w:tc>
          <w:tcPr>
            <w:tcW w:type="dxa" w:w="2592"/>
            <w:vAlign w:val="top"/>
          </w:tcPr>
          <w:p>
            <w:pPr>
              <w:jc w:val="left"/>
            </w:pPr>
            <w:r/>
            <w:r>
              <w:rPr>
                <w:b w:val="0"/>
                <w:sz w:val="16"/>
              </w:rPr>
              <w:t>66.7%</w:t>
            </w:r>
          </w:p>
        </w:tc>
        <w:tc>
          <w:tcPr>
            <w:tcW w:type="dxa" w:w="2592"/>
            <w:vAlign w:val="top"/>
          </w:tcPr>
          <w:p>
            <w:pPr>
              <w:jc w:val="left"/>
            </w:pPr>
            <w:r/>
            <w:r>
              <w:rPr>
                <w:b w:val="0"/>
                <w:sz w:val="16"/>
              </w:rPr>
              <w:t>9.85x</w:t>
            </w:r>
          </w:p>
        </w:tc>
      </w:tr>
    </w:tbl>
    <w:p/>
    <w:p>
      <w:r>
        <w:t>This sensitivity is expected for an extreme-priority subset with n=2. The historical snapshot is therefore best read as a directional consistency check: VITAL red may concentrate future instability, but the estimate is not stable enough to support a stand-alone prediction claim. The primary evidence for clinical utility remains the current workflow result: large reduction in false-positive re-evaluation burden with component-level explainability.</w:t>
      </w:r>
    </w:p>
    <w:p>
      <w:r>
        <w:t>Historical AC sensitivity supported the same modular interpretation. For the broad endpoint, AC&gt;=5 produced 40 AC-supported frequency flags and 3 VITAL-red variants (ANK2 VCV000207942, KCNE1 VCV001202620, and TRDN VCV001325231), with 1/3 broad future events. AC&gt;=10 and AC&gt;=20 selected the same two VITAL-red variants (KCNE1 VCV001202620 and TRDN VCV001325231), with 1/2 broad future events at both thresholds. AC&gt;=50 selected only KCNE1 VCV001202620, which was the broad future event. The AC&gt;=10 and AC&gt;=20 red-set identity was therefore stable, while AC&gt;=5 added one lower-AC non-event and AC&gt;=50 became more stringent by losing TRDN. The corresponding AC-supported baseline screens produced substantial false-positive burden across thresholds: 36 false positives at AC&gt;=5, 34 at AC&gt;=10, 25 at AC&gt;=20, and 7 at AC&gt;=50 for the broad endpoint.</w:t>
      </w:r>
    </w:p>
    <w:p>
      <w:r>
        <w:t>Historical threshold calibration identified and documented a field-mapping inconsistency in the first calibration pass. The field-mapping-inconsistent run produced 0 red-gate-compatible flags at all thresholds because the historical prediction table lacked weak_review_signal and the calibration script defaulted the field to false. This run is retained as an audit artifact. After applying validator-consistent mapping (review_score &lt;=1 or submitter_count &lt;=1 for weak review, with AC support derived from frequency_signal_ac_ge_20 or the qualifying_frequency_ac &gt;=20 fallback), the threshold-70 historical red set matched the validator: KCNE1 VCV001202620 and TRDN VCV001325231. KCNH2 VCV004535537 was not red in the 2023 snapshot because it was not present as the same allele-specific ClinVar record: the January 2023 table contained the same splice position as VCV000560686, c.2398+2T&gt;A (A&gt;T), with AC=0 and non-red status, whereas the current red record VCV004535537, c.2398+2T&gt;G (A&gt;C), was created/submitted on December 14, 2025 and has current global AC=24 with single-submitter review. Thus, KCNH2's current red status reflects entry of a later allele-specific assertion with sufficient AC support, not review-score drift within the same VCV record; this supports treating it as a temporally new and weight-borderline signal.</w:t>
      </w:r>
    </w:p>
    <w:p>
      <w:r>
        <w:t>Release-to-release red-queue composition was only partly stable. The January 2023 arrhythmia red set contained KCNE1 VCV001202620 and TRDN VCV001325231, whereas the April 2026 arrhythmia red set contained SCN5A VCV000440850, TRDN VCV001325231, and KCNH2 VCV004535537. The exact-VCV overlap was therefore 1 retained record (TRDN), with a Jaccard overlap of 1/4 across the two freezes. This turnover does not negate usefulness if the queue remains short, but it does mean VITAL should be monitored as a release-specific review queue rather than a static variant list. More frequent ClinVar/gnomAD release snapshots would be required to estimate whether turnover is gradual and manageable or whether queue membership is unstable across routine updates.</w:t>
      </w:r>
    </w:p>
    <w:p>
      <w:r>
        <w:t>The calibration result did not show that 70 is the enrichment-maximizing historical threshold. For the arrhythmia broad endpoint, the maximum red-gate-compatible enrichment occurred at threshold 80 (1/1 broad events; 14.77x enrichment), whereas the prespecified threshold 70 flagged 2 variants with 1 event (7.38x enrichment). For the expanded endpoint, lower thresholds selected more events, again reflecting the instability expected from very small red sets. We therefore retain 70 as a prespecified operational threshold, not as a fitted optimum. The calibration analysis is useful because it confirms internal consistency of the validator, exposes threshold sensitivity, and documents that enrichment maxima are sparse and unstable.</w:t>
      </w:r>
    </w:p>
    <w:p>
      <w:r>
        <w:t>The clinical logic for keeping 70 is workload-oriented rather than purely statistical. A threshold of 80 is reasonable as an ultra-high-priority subqueue, but in the historical arrhythmia calibration it was supported by a single red event, and in current analyses higher thresholds begin to discard plausible re-review signals such as TRDN and borderline KCNH2 depending on the profile. The value proposition of VITAL is to compress 115 naive arrhythmia AF alerts into a queue of 3, not necessarily into a queue of 1. For this reason, 70 is treated as the default immediate-review gate, while 80 is reported transparently as a stricter sensitivity option for laboratories with limited review bandwidth.</w:t>
      </w:r>
    </w:p>
    <w:p>
      <w:pPr>
        <w:pStyle w:val="Heading2"/>
      </w:pPr>
      <w:r>
        <w:t>Multi-domain historical validation and alignment sanity checks</w:t>
      </w:r>
    </w:p>
    <w:p>
      <w:r>
        <w:t>The expanded historical dataset combined arrhythmia (n=1,669), cardiomyopathy (n=300), epilepsy (n=300), hearing loss (n=300), and random ClinVar P/LP variants (n=500), for 3,069 raw baseline rows. Within-domain duplicate checks found 0 duplicate variation IDs and 0 duplicate variant keys. Cross-domain leakage occurred only through the random ClinVar sample: 6 variants overlapped a fixed disease panel and were removed from pooled analysis using the prespecified domain-priority rule. No VITAL-red rows were removed by within-domain or pooled deduplication (red count remained 4 before and after dedupe), leaving 3,063 pooled-deduplicated variants.</w:t>
      </w:r>
    </w:p>
    <w:p>
      <w:r>
        <w:t>Within-domain results were heterogeneous. Arrhythmia contributed 2 VITAL-red variants; random ClinVar P/LP contributed 2; cardiomyopathy, epilepsy, and hearing loss contributed 0 red variants at the prespecified AC&gt;=20 red gate. For the broad endpoint, arrhythmia had 1/2 red events and random ClinVar P/LP had 1/2 red events. For the expanded endpoint, arrhythmia had 2/2 red events and random ClinVar P/LP had 1/2. The fixed external disease panels therefore increased the historical denominator and event count but did not create additional red calls, consistent with conservative behavior outside the arrhythmia development context.</w:t>
      </w:r>
    </w:p>
    <w:p>
      <w:r>
        <w:t>Historical threshold calibration showed the same conservative pattern at the prespecified threshold. At score threshold 70 with the red-gate-compatible actionability filter, cardiomyopathy, epilepsy, and hearing loss each had 0 red flags. Lower exploratory thresholds did not produce explosive queues: cardiomyopathy and epilepsy remained at 0 red-gate-compatible flags, and hearing loss reached at most 2 flags only at lower thresholds. Thus, adding external historical domains increased denominator size and endpoint heterogeneity without turning VITAL into a broad cross-domain flag generator.</w:t>
      </w:r>
    </w:p>
    <w:p>
      <w:r>
        <w:t>Pooled-deduplicated results were directionally consistent but still sparse. The strict endpoint remained negative: 0/4 VITAL-red variants reached P/LP-to-B/LB-or-VUS despite 24 strict events overall. For the broad endpoint, 2/4 VITAL-red variants reached broad instability compared with 174/3,063 overall (red event rate 50.0%, Wilson 95% CI 15.0%-85.0%; enrichment 8.80x vs overall). For the expanded endpoint, 3/4 VITAL-red variants had broad instability, aggregate clinical-significance change, or review-status change compared with 818/3,063 overall (red event rate 75.0%, Wilson 95% CI 30.1%-95.4%; enrichment 2.81x vs overall). These results support a qualitative enrichment signal under broader instability definitions but still do not justify a stand-alone predictive claim because recall remained very low (1.15% for broad and 0.37% for expanded).</w:t>
      </w:r>
    </w:p>
    <w:p>
      <w:r>
        <w:t>Stratified bootstrap confirmed that the pooled historical signal remains sparse and discrete. For the strict endpoint, 100% of bootstrap samples with at least one red variant had 0 red events. For the broad endpoint, 10.9% of usable bootstrap samples had 0 red events and 30.7% had exactly 1 red event; the median red event rate was 50.0%, but the 95% bootstrap interval spanned 0%-100%. For the expanded endpoint, 2.5% had 0 red events and 15.9% had exactly 1 red event; the median red event rate was 75.0%, with a 14%-100% interval. This is binary-noise sensitivity, not smooth statistical stability.</w:t>
      </w:r>
    </w:p>
    <w:p>
      <w:r>
        <w:t>Alignment sanity checks identified 18 baseline variants missing by VariationID in the 2026 snapshot. Of these, 13 appeared to have disappeared completely or lacked a current GRCh38 key match, while 5 had the same variant key present under a current record and were therefore classified as mapping failures or VariationID changes. The highest-scoring missing case was a random ClinVar MUC4 variant (VITAL=55.5, yellow watchlist), not a red-priority call. Thus, missing follow-up records contributed to broad endpoint counts but did not drive the VITAL-red historical signal.</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6" name="Picture 6"/>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4"/>
                    <a:stretch>
                      <a:fillRect/>
                    </a:stretch>
                  </pic:blipFill>
                  <pic:spPr>
                    <a:xfrm>
                      <a:off x="0" y="0"/>
                      <a:ext cx="6217920" cy="3674225"/>
                    </a:xfrm>
                    <a:prstGeom prst="rect"/>
                  </pic:spPr>
                </pic:pic>
              </a:graphicData>
            </a:graphic>
          </wp:inline>
        </w:drawing>
      </w:r>
    </w:p>
    <w:p>
      <w:pPr>
        <w:jc w:val="center"/>
      </w:pPr>
      <w:r>
        <w:rPr>
          <w:i/>
          <w:sz w:val="18"/>
        </w:rPr>
        <w:t>Figure 6.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7" name="Picture 7"/>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15"/>
                    <a:stretch>
                      <a:fillRect/>
                    </a:stretch>
                  </pic:blipFill>
                  <pic:spPr>
                    <a:xfrm>
                      <a:off x="0" y="0"/>
                      <a:ext cx="6217920" cy="7461504"/>
                    </a:xfrm>
                    <a:prstGeom prst="rect"/>
                  </pic:spPr>
                </pic:pic>
              </a:graphicData>
            </a:graphic>
          </wp:inline>
        </w:drawing>
      </w:r>
    </w:p>
    <w:p>
      <w:pPr>
        <w:jc w:val="center"/>
      </w:pPr>
      <w:r>
        <w:rPr>
          <w:i/>
          <w:sz w:val="18"/>
        </w:rPr>
        <w:t>Figure 7. Independent 3,000-variant 2023-to-current historical validation curves.</w:t>
      </w:r>
    </w:p>
    <w:p/>
    <w:p>
      <w:r>
        <w:t>The larger current cross-disease validation sample contained 3,000 unique ClinVar P/LP variants from 726 genes after excluding all 20 arrhythmia genes and all genes used in the earlier cardiomyopathy, epilepsy, and hearing-loss stress-test panels. The enriched stratum contained 2,000 variants sampled from the top 100 genes by number of ClinVar P/LP submissions after these exclusions; the fully random stratum contained 1,000 variants from the remaining eligible ClinVar P/LP pool. Sanity checks confirmed 0 arrhythmia-gene leaks, 0 previous external-panel overlaps, and 0 duplicate variant IDs or variant keys after sampling.</w:t>
      </w:r>
    </w:p>
    <w:p>
      <w:r>
        <w:t>Frequency evidence was observed for 668/3,000 variants (22.3%; 95% CI 20.8%-23.8%). A naive popmax/global AF &gt;1e-5 screen flagged 332/3,000 variants (11.1%; 95% CI 10.0%-12.2%). Requiring AC-supported frequency evidence reduced this to 71/3,000 (2.37%; 95% CI 1.88%-2.97%). VITAL red reduced the urgent review queue to 3/3,000 variants (0.10%; 95% CI 0.034%-0.294%), equivalent to an expected 10.0 red calls per 10,000 random ClinVar P/LP variants (95% CI 3.4-29.4) and a 110.7-fold compression relative to naive AF screening. The red calls were PRG4 VCV003574703, MNS1 VCV003024123, and DYNC2H1 VCV002749617; each combined AC-supported frequency tension with weak review status rather than representing frequency alone. These variants were not adjudicated as false positives or false pathogenic assertions in this analysis; they define a compact manual-review set requiring disease-mechanism, inheritance, phenotype, and literature review. This is the desired clinical behavior for a reclassification risk prioritization framework: it creates a very small human-review queue rather than converting hundreds of population-frequency alerts into urgent work.</w:t>
      </w:r>
    </w:p>
    <w:p>
      <w:r>
        <w:t>The same sampling design applied to the January 2023 ClinVar snapshot produced 3,000 unique baseline P/LP variants, again with 0 arrhythmia leaks, 0 previous external-panel overlaps, and 0 duplicate variant IDs or keys. Baseline VITAL red flagged 13/3,000 variants (0.43%; 95% CI 0.25%-0.74%), compared with 379/3,000 naive AF flags (12.6%; 95% CI 11.5%-13.9%). Against the April 21, 2026 snapshot, 23/3,000 variants met the strict endpoint of P/LP to B/LB or VUS. VITAL red captured 1/23 strict events (recall 4.3%; 95% CI 0.8%-21.0%) with 1/13 red precision (7.7%; 95% CI 1.4%-33.3%), 99.6% specificity, and a false-positive rate of 0.40%. Thus, strict reclassification remains rare and VITAL should not be presented as a broad predictor of future downgrades.</w:t>
      </w:r>
    </w:p>
    <w:p>
      <w:r>
        <w:t>For the expanded instability endpoint (P/LP to non-P/LP, clinical-significance change, or review-status change), 794/3,000 baseline variants changed by 2026. VITAL red contained 11/13 expanded events (precision 84.6%; 95% CI 57.8%-95.7%) and achieved 99.9% specificity (95% CI 99.7%-99.98%), but recall remained low at 1.4% (95% CI 0.8%-2.5%). This confirms the main operating profile: VITAL red is a high-specificity, low-recall review-priority layer. It enriches for records with future instability under broader audit endpoints, but it does not capture most future ClinVar changes and should not be used as a stand-alone prediction model.</w:t>
      </w:r>
    </w:p>
    <w:p>
      <w:r>
        <w:t>The expanded endpoint should also be interpreted conservatively because it includes soft database-instability events. A variant can meet this endpoint through review-status change or aggregate clinical-significance text change without moving from P/LP to VUS/B/LB. The 11/13 result therefore supports the claim that VITAL red concentrates records with future ClinVar curation activity, not the stronger claim that it predicts clinically meaningful downgrades.</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8" name="Picture 8"/>
            <wp:cNvGraphicFramePr>
              <a:graphicFrameLocks noChangeAspect="1"/>
            </wp:cNvGraphicFramePr>
            <a:graphic>
              <a:graphicData uri="http://schemas.openxmlformats.org/drawingml/2006/picture">
                <pic:pic>
                  <pic:nvPicPr>
                    <pic:cNvPr id="0" name="vital_external_panel_score_distribution.png"/>
                    <pic:cNvPicPr/>
                  </pic:nvPicPr>
                  <pic:blipFill>
                    <a:blip r:embed="rId16"/>
                    <a:stretch>
                      <a:fillRect/>
                    </a:stretch>
                  </pic:blipFill>
                  <pic:spPr>
                    <a:xfrm>
                      <a:off x="0" y="0"/>
                      <a:ext cx="6217920" cy="3165487"/>
                    </a:xfrm>
                    <a:prstGeom prst="rect"/>
                  </pic:spPr>
                </pic:pic>
              </a:graphicData>
            </a:graphic>
          </wp:inline>
        </w:drawing>
      </w:r>
    </w:p>
    <w:p>
      <w:pPr>
        <w:jc w:val="center"/>
      </w:pPr>
      <w:r>
        <w:rPr>
          <w:i/>
          <w:sz w:val="18"/>
        </w:rPr>
        <w:t>Figure 8.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VITAL red</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VITAL red produced 0/500. In hearing-loss genes, naive AF produced 76/300 flags (25.3%) and VITAL red again produced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9" name="Picture 9"/>
            <wp:cNvGraphicFramePr>
              <a:graphicFrameLocks noChangeAspect="1"/>
            </wp:cNvGraphicFramePr>
            <a:graphic>
              <a:graphicData uri="http://schemas.openxmlformats.org/drawingml/2006/picture">
                <pic:pic>
                  <pic:nvPicPr>
                    <pic:cNvPr id="0" name="arrhythmia_kcnh2_non_overlap_diagnostics.png"/>
                    <pic:cNvPicPr/>
                  </pic:nvPicPr>
                  <pic:blipFill>
                    <a:blip r:embed="rId17"/>
                    <a:stretch>
                      <a:fillRect/>
                    </a:stretch>
                  </pic:blipFill>
                  <pic:spPr>
                    <a:xfrm>
                      <a:off x="0" y="0"/>
                      <a:ext cx="6217920" cy="4304714"/>
                    </a:xfrm>
                    <a:prstGeom prst="rect"/>
                  </pic:spPr>
                </pic:pic>
              </a:graphicData>
            </a:graphic>
          </wp:inline>
        </w:drawing>
      </w:r>
    </w:p>
    <w:p>
      <w:pPr>
        <w:jc w:val="center"/>
      </w:pPr>
      <w:r>
        <w:rPr>
          <w:i/>
          <w:sz w:val="18"/>
        </w:rPr>
        <w:t>Figure 9. KCNH2 non-overlap diagnostic analysis.</w:t>
      </w:r>
    </w:p>
    <w:p/>
    <w:p>
      <w:pPr>
        <w:jc w:val="center"/>
      </w:pPr>
      <w:r>
        <w:drawing>
          <wp:inline xmlns:a="http://schemas.openxmlformats.org/drawingml/2006/main" xmlns:pic="http://schemas.openxmlformats.org/drawingml/2006/picture">
            <wp:extent cx="6217920" cy="3497580"/>
            <wp:docPr id="10" name="Picture 10"/>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18"/>
                    <a:stretch>
                      <a:fillRect/>
                    </a:stretch>
                  </pic:blipFill>
                  <pic:spPr>
                    <a:xfrm>
                      <a:off x="0" y="0"/>
                      <a:ext cx="6217920" cy="3497580"/>
                    </a:xfrm>
                    <a:prstGeom prst="rect"/>
                  </pic:spPr>
                </pic:pic>
              </a:graphicData>
            </a:graphic>
          </wp:inline>
        </w:drawing>
      </w:r>
    </w:p>
    <w:p>
      <w:pPr>
        <w:jc w:val="center"/>
      </w:pPr>
      <w:r>
        <w:rPr>
          <w:i/>
          <w:sz w:val="18"/>
        </w:rPr>
        <w:t>Figure 10.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This study provides a population-frequency and technical-detectability audit of ClinVar P/LP variants in inherited arrhythmia genes, and extends that audit into an interpretable clinical reclassification risk prioritization framework. The central finding is not simply that most ClinVar P/LP variants are rare. That result is expected. The stronger finding is that population-frequency evidence becomes clinically useful only when interpreted through ancestry, AC support, variant representation, gene context, technical detectability, and review quality.</w:t>
      </w:r>
    </w:p>
    <w:p>
      <w:r>
        <w:t>First, arrhythmia P/LP variants with usable gnomAD AF are strongly concentrated at ultra-rare global frequencies. Among AF-covered variants, 96.1% had AF &lt;=1e-5. This supports the broad validity of frequency constraint in high-penetrance arrhythmia genes. At the same time, global AF alone missed most frequency tension. Popmax identified 115 variants above 1e-5, while global AF identified only 13. Nearly one-third of variants with complete popmax data were globally rare but population-enriched. This reinforces the need for ancestry-aware interpretation.</w:t>
      </w:r>
    </w:p>
    <w:p>
      <w:r>
        <w:t>Second, non-overlap is not equivalent to rarity. More than 80% of arrhythmia P/LP variants lacked usable exact AF evidence, but that set combined allele-discordant sites, no-record variants, and exact matches without AF. Indels and duplications were much more likely than SNVs to lack exact frequency evidence. This is the conceptual reason VITAL includes technical detectability and preserves a gray no-frequency-evidence state instead of treating missing AF as zero.</w:t>
      </w:r>
    </w:p>
    <w:p>
      <w:r>
        <w:t>Third, naive AF screening creates excessive manual review burden. A popmax/global AF &gt;1e-5 screen flagged 115 arrhythmia P/LP variants, but only 9 had AC-supported frequency evidence and only 3 met VITAL red criteria. This 97.4% compression in actionable calls is not cosmetic. It turns an unfocused frequency alert list into a short clinical reclassification risk queue with explicit reasons and component-level explainability. In practical workflow terms, the framework removes 112 urgent review triggers relative to a naive AF screen and eliminates 53 proxy false-positive re-evaluation calls in the operational benchmark.</w:t>
      </w:r>
    </w:p>
    <w:p>
      <w:r>
        <w:t>Fourth, the pathogenicity tension continuum reframes high-frequency P/LP variants as a biological and clinical category rather than only a curation error list. High VITAL variants are frequency-function discordant: they carry population-frequency evidence that is difficult to reconcile with a straightforward high-penetrance interpretation, while also retaining functional labels such as LOF, splice/intronic, or unresolved composite annotation. LOF subtype analysis strengthens this point: frameshift, stop_gained, and canonical_splice variants showed distinct discordance profiles, and frameshift variants were not absent from high-tension space. This pattern is consistent with variants that may not conform to canonical high-penetrance expectations, including clinically overcalled assertions, low-penetrance alleles, hypomorphic effects, ancestry-specific enrichment, transcript-specific effects, or context-dependent pathogenicity. The clinical consequence is concrete: overcalling a low-penetrance or frequency-inconsistent variant as fully penetrant P/LP can trigger unnecessary cascade testing, patient anxiety, reproductive counseling consequences, medication or activity restrictions, or even inappropriate escalation of cardiac surveillance and device discussions. VITAL's role is to bring these cases to expert review, not to replace that review.</w:t>
      </w:r>
    </w:p>
    <w:p>
      <w:r>
        <w:t>Fifth, VITAL's review-fragility term is clinically important. Many frequency-positive P/LP records have stronger review support, and VITAL does not automatically demote them. In the current arrhythmia cache, all red-priority calls came from weak or single-submitter records. This design makes VITAL a decision-support framework rather than a replacement for expert classification: it decides which records deserve urgent review, not what their final classification should be. These results highlight that frequency-based prioritization operates orthogonally to inheritance-aware and phenotype-driven interpretation, complementing rather than replacing established clinical frameworks.</w:t>
      </w:r>
    </w:p>
    <w:p>
      <w:r>
        <w:t>Sixth, the AC sensitivity analysis addresses the concern that the framework depends on an arbitrary threshold. Because the score and the AC gate are separated, the same signal can be viewed under different operational requirements. The current AC&gt;=20 red-core remained stable at AC&gt;=5 and AC&gt;=10, while lower and higher gates transparently added or removed variants. Historical AC sensitivity showed the same pattern: AC&gt;=10 and AC&gt;=20 selected the same two baseline red variants, while AC&gt;=5 added one lower-AC non-event and AC&gt;=50 retained only the strongest case. This modular design is preferable to hiding the threshold inside the score.</w:t>
      </w:r>
    </w:p>
    <w:p>
      <w:r>
        <w:t>Seventh, weight sensitivity shows that VITAL is not creating arbitrary new red calls when component weights are perturbed. Five alternative expert-weight profiles produced no gained red variants, maintained 0 proxy false positives, and preserved high rank correlation with the primary score. However, this analysis also prevents overclaiming: SCN5A is an anchor call, TRDN is near-stable, and KCNH2 is borderline. The KCNH2 result is still a valid re-review signal under the primary framework, but it should be communicated as threshold-adjacent and weight-sensitive wherever it appears, including tables and conclusions.</w:t>
      </w:r>
    </w:p>
    <w:p>
      <w:r>
        <w:t>Eighth, the historical analysis is deliberately secondary. It is retained in the main text to document the audit trail, alignment checks, and negative evidence against overclaiming, not to give the impression of a powered predictive validation. In arrhythmia alone, only 2 baseline 2023 variants were VITAL red, and 1/2 later reached the broad instability endpoint, compared with 113/1,669 overall. In the earlier pooled multi-domain analysis, n increased to 3,063 but red calls remained sparse. The larger independent 3,000-variant 2023 cross-disease sample made the tradeoff clearer: VITAL red captured only 1/23 strict P/LP-to-B/LB-or-VUS events, but it retained 99.6% specificity and showed strong enrichment for the expanded instability endpoint (11/13 red events). By conventional prediction standards for strict future downgrades, this is poor sensitivity. That is precisely why VITAL should be framed as an extreme-priority monitoring and burden-reduction layer, not as a broad reclassification predictor.</w:t>
      </w:r>
    </w:p>
    <w:p>
      <w:r>
        <w:t>Ninth, cross-disease validation argues against simple arrhythmia overfitting while preserving an appropriately conservative interpretation. In the current independent 3,000-variant sample outside arrhythmia and previous external-panel genes, naive AF screening produced 332 flags, whereas VITAL red produced 3. The three red calls require case-level review, but their existence is useful: the model does not become suspiciously silent outside arrhythmia, and it also does not create a large red-priority queue. The 2023 cross-disease sample showed the same pattern at a different freeze date: 379 naive AF flags versus 13 VITAL-red calls. These results strengthen the claim that VITAL reduces false-positive re-evaluation burden across heterogeneous ClinVar P/LP records. They do not prove disease-agnostic sensitivity, because recessive carrier states, founder variants, incomplete penetrance, mitochondrial mechanisms, and disease-specific thresholds may require inheritance-aware calibration. They also do not establish red-queue composition stability across routine database releases; that question requires serial snapshots, reporting retained/gained/lost red records at each update rather than only total red counts.</w:t>
      </w:r>
    </w:p>
    <w:p>
      <w:r>
        <w:t>Finally, the KCNH2 analysis illustrates why gene-level non-overlap signals require diagnostic dissection. KCNH2 is not uniquely explained by global non-overlap when compared with SCN5A. Instead, much of its statistical excess is accounted for by a high duplication burden and poor duplication representation. GC content, repeat annotation, submission date, and genome data do not provide simple alternative explanations, but they also do not resolve mechanism. The practical implication remains important: absence of a KCNH2 duplication from gnomAD should not be treated as strong evidence of rarity without orthogonal validation.</w:t>
      </w:r>
    </w:p>
    <w:p>
      <w:r>
        <w:t>Future extensions should incorporate functional context more directly. In the current implementation, functional information enters only through HGVS-derived consequence classes and a gene-level constraint proxy. Specificity may improve if VITAL is extended with MAVE scores, transcript-aware LOF/NMD prediction, curated protein-domain or hotspot annotations, missense constraint, exon criticality, and disease-specific mechanism labels. These additions should be modeled as explainable modifiers of the pathogenicity tension continuum, not as hidden black-box features, because a high-frequency variant in a noncritical domain, nonessential exon, or nonexpressed transcript should not necessarily receive the same review priority as a high-frequency variant in an active site, critical domain, or well-established disease transcript.</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This study has several limitations. First, VITAL is a clinical reclassification risk prioritization framework, not a clinical truth model. Red calls should trigger expert review, not automatic reclassification. The final decision must remain with human reviewers applying ACMG/AMP criteria, phenotype, segregation, functional data, disease mechanism, inheritance, and laboratory policy. Second, the component maxima are expert-specified rather than empirically learned. Weight-profile sensitivity showed that no new red variants appeared under five alternative profiles, but KCNH2 was unstable in 3/5 profiles; future disease-specific implementations should treat the current weights as starting priors, recalibrate against local disease architecture and laboratory policy, and report weight sensitivity rather than assuming these weights transfer unchanged. Third, the current operational benchmark uses proxy labels because definitive prospective truth is unavailable, and those proxy labels are partly circular: weak ClinVar review support and AC-supported frequency tension help define the positive class and are also used in the red actionability gate. As a result, ROC/PR curves and precision/recall estimates should not be read as independent clinical performance metrics; the perfect precision and recall values are artifacts of design concordance under the proxy benchmark and are useful only for comparing review burden under different frequency-screening strategies. Fourth, the historical analysis is underpowered for strong predictive claims. The independent 3,000-variant historical cross-disease sample increases the denominator and provides non-arrhythmia endpoints, but red calls remain sparse and strict reclassification recall is low; if strict future downgrades are treated as the target, VITAL red performs poorly as a predictor. The appropriate interpretation is preliminary qualitative enrichment for an extreme-priority subset rather than proof of future reclassification prediction. Fifth, the expanded instability endpoint is deliberately soft and can include review-status or aggregate-text changes without clinically meaningful downgrade; it is a curation-activity endpoint, not a clinical reclassification endpoint. Sixth, historical threshold calibration is descriptive and was not used to refit the model. The enrichment-maximizing threshold varied by endpoint and domain, confirming that the prespecified threshold 70 should be treated as an operational review gate rather than an optimized predictive cutoff; 80 is a valid stricter subqueue but not the default threshold in this workflow. Seventh, red-queue composition stability cannot be estimated from only two ClinVar/gnomAD freezes. The observed arrhythmia queue changed from two red variants in 2023 to three in April 2026 with one retained record; future deployments should track gained, lost, and retained red calls at every release. Eighth, pooled and random cross-disease analyses mix different disease architectures, baseline event rates, and error mechanisms. Recessive carrier states, founder alleles, incomplete penetrance, mitochondrial inheritance, and disease-specific thresholds can all change how frequency evidence should be interpreted; VITAL currently flags frequency tension but does not automatically model zygosity or inheritance-specific penetrance. Ninth, cross-domain and cross-sample deduplication require operational priority rules; no red calls were removed by the reported dedupe checks, but a variant that is red in one context and non-red in another could be affected by this rule in future datasets. Tenth, the historical endpoint is imperfect: some variants disappear from follow-up, change VariationID, or change terminology without representing true biological reclassification. We classify missing follow-up records as disappeared completely versus mapping failure when possible, but some ambiguity remains. Eleventh, the small fixed external disease-domain panels should be interpreted as false-positive-burden and portability stress tests, not sensitivity analyses; without independent truth labels, they cannot show whether true reclassification candidates were missed. The larger random cross-disease validation improves portability assessment but still cannot establish disease-specific sensitivity for every clinical domain. Twelfth, the BRCA/MMR/APC panel is retained only as a descriptive comparator, not a clean negative control, because cancer-predisposition genes have founder effects, incomplete penetrance, and disease-mechanism differences from inherited arrhythmia genes. Thirteenth, VITAL does not incorporate phenotype match, segregation, family history, functional assays, MAVE scores, medication response, domain criticality, exon usage, transcript-specific expression, or laboratory-private evidence; a true pathogenic founder or low-penetrance variant can therefore be correctly prioritized as red while still requiring expert adjudication rather than automatic downgrading. Fourteenth, LOF subtype annotation was derived from ClinVar title/HGVS strings and was used only descriptively; it does not replace transcript-aware consequence annotation, NMD prediction, exon/domain context, MAVE data, or curated functional assays. Fifteenth, the KCNH2 duplication result is statistical rather than mechanistic: duplications account for much of the observed non-overlap signal, but the underlying cause remains unresolved. Sixteenth, short-read gnomAD data remain limited for structurally complex variants, and even genome data may not fully resolve duplications or complex indels. Seventeenth, the current implementation is a batch bioinformatics workflow built around APIs, caches, and CSV/TSV outputs; routine use by individual clinical geneticists will require a simpler single-variant interface or integration into existing interpretation tools. Finally, the primary data freeze was April 21, 2026. ClinVar assertions can change after that date, so all red-priority variants should be rechecked against live ClinVar records before publication, clinical reporting, or any patient-facing decision.</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VITAL red should initiate expert re-review, not automatically assign benignity.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 In a clinical workflow, the red queue should trigger immediate expert review, orange/yellow variants can be monitored or reviewed by batch, and gray variants should enter the no-frequency-evidence workflow described above. The present implementation is best suited to laboratories with bioinformatics support. To make the framework immediately inspectable, we also provide a lightweight Google Colab demonstration that scores a single cached VCV record, a small CSV batch, or a demo top-suspicious table in approximately two minutes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high-priority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VITAL-red review-priority calls. Historical cross-disease validation remains high-specificity and low-recall, with 13 red calls among 3,000 baseline 2023 variants and only 1/23 strict future downgrade events captured; VITAL red is therefore not a sensitive predictor of strict future reclassification. The intended clinical value is reducing false-positive variant re-evaluation burden without replacing clinician or laboratory decision-making.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the ClinVar bulk variant summary file; the historical analysis used the archived January 2023 ClinVar variant_summary snapshot.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Docker/containerized environment is planned as the next reproducibility layer so that package versions and system dependencies can be fixed in addition to the data freeze.</w:t>
      </w:r>
    </w:p>
    <w:p>
      <w:r>
        <w:t>Key output files include:</w:t>
      </w:r>
    </w:p>
    <w:p>
      <w:pPr>
        <w:pStyle w:val="ListBullet"/>
      </w:pPr>
      <w:r>
        <w:t>data/processed/arrhythmia_vital_scores.csv: per-variant VITAL scores, bands, reasons, and component signals.</w:t>
      </w:r>
    </w:p>
    <w:p>
      <w:pPr>
        <w:pStyle w:val="ListBullet"/>
      </w:pPr>
      <w:r>
        <w:t>data/processed/arrhythmia_vital_component_breakdown.csv: long-format explainability table.</w:t>
      </w:r>
    </w:p>
    <w:p>
      <w:pPr>
        <w:pStyle w:val="ListBullet"/>
      </w:pPr>
      <w:r>
        <w:t>data/processed/arrhythmia_vital_method_comparison.csv: baseline comparison against AF-only and AF+AC screens.</w:t>
      </w:r>
    </w:p>
    <w:p>
      <w:pPr>
        <w:pStyle w:val="ListBullet"/>
      </w:pPr>
      <w:r>
        <w:t>data/processed/arrhythmia_vital_threshold_sweep.csv: sensitivity/specificity sweep by VITAL cutoff.</w:t>
      </w:r>
    </w:p>
    <w:p>
      <w:pPr>
        <w:pStyle w:val="ListBullet"/>
      </w:pPr>
      <w:r>
        <w:t>data/processed/arrhythmia_vital_ac_threshold_sensitivity.csv: AC&gt;=5/10/20/50 actionability-gate sensitivity with red-set composition.</w:t>
      </w:r>
    </w:p>
    <w:p>
      <w:pPr>
        <w:pStyle w:val="ListBullet"/>
      </w:pPr>
      <w:r>
        <w:t>data/processed/arrhythmia_vital_weight_sensitivity_summary.csv: red-set, compression, false-positive, and rank-correlation summary across expert-weight profiles.</w:t>
      </w:r>
    </w:p>
    <w:p>
      <w:pPr>
        <w:pStyle w:val="ListBullet"/>
      </w:pPr>
      <w:r>
        <w:t>data/processed/arrhythmia_vital_weight_sensitivity_variant_matrix.csv: current red variants classified as anchor, near-stable, or borderline across alternative weight profiles.</w:t>
      </w:r>
    </w:p>
    <w:p>
      <w:pPr>
        <w:pStyle w:val="ListBullet"/>
      </w:pPr>
      <w:r>
        <w:t>data/processed/arrhythmia_vital_weight_sensitivity_variant_profile_table.csv: long-format 5 alternative profiles x 3 red variants weight-sensitivity table.</w:t>
      </w:r>
    </w:p>
    <w:p>
      <w:pPr>
        <w:pStyle w:val="ListBullet"/>
      </w:pPr>
      <w:r>
        <w:t>data/processed/arrhythmia_vital_pathogenicity_tension_continuum.csv: per-variant pathogenicity tension zone and frequency-function discordance class.</w:t>
      </w:r>
    </w:p>
    <w:p>
      <w:pPr>
        <w:pStyle w:val="ListBullet"/>
      </w:pPr>
      <w:r>
        <w:t>data/processed/arrhythmia_vital_frequency_function_discordance_summary.csv: 20-point VITAL-band continuum summary.</w:t>
      </w:r>
    </w:p>
    <w:p>
      <w:pPr>
        <w:pStyle w:val="ListBullet"/>
      </w:pPr>
      <w:r>
        <w:t>data/processed/arrhythmia_vital_signal_reorganization_summary.csv: naive AF, AC-supported AF, VITAL-band, and VITAL-red signal reorganization summary.</w:t>
      </w:r>
    </w:p>
    <w:p>
      <w:pPr>
        <w:pStyle w:val="ListBullet"/>
      </w:pPr>
      <w:r>
        <w:t>data/processed/arrhythmia_vital_lof_subtype_discordance_summary.csv: frameshift, stop_gained, and canonical_splice discordance summary across the VITAL continuum.</w:t>
      </w:r>
    </w:p>
    <w:p>
      <w:pPr>
        <w:pStyle w:val="ListBullet"/>
      </w:pPr>
      <w:r>
        <w:t>data/processed/vital_red_manual_review_live_check.csv: live ClinVar manual-review snapshot for the three VITAL-red variants, including conflicts, submitter status, literature mentions, and unresolved interpretation.</w:t>
      </w:r>
    </w:p>
    <w:p>
      <w:pPr>
        <w:pStyle w:val="ListBullet"/>
      </w:pPr>
      <w:r>
        <w:t>data/processed/arrhythmia_vital_acmg_disagreement.csv: naive AF flags split by VITAL agreement or non-red status.</w:t>
      </w:r>
    </w:p>
    <w:p>
      <w:pPr>
        <w:pStyle w:val="ListBullet"/>
      </w:pPr>
      <w:r>
        <w:t>data/processed/arrhythmia_vital_top_suspicious.csv: top VITAL-priority variants.</w:t>
      </w:r>
    </w:p>
    <w:p>
      <w:pPr>
        <w:pStyle w:val="ListBullet"/>
      </w:pPr>
      <w:r>
        <w:t>data/processed/arrhythmia_vital_absence_detectability_bias.csv: variant-type evidence for absence/detectability bias.</w:t>
      </w:r>
    </w:p>
    <w:p>
      <w:pPr>
        <w:pStyle w:val="ListBullet"/>
      </w:pPr>
      <w:r>
        <w:t>data/processed/arrhythmia_2023_01_to_current_vital_historical_validation.csv: arrhythmia 2023-to-current historical enrichment analysis.</w:t>
      </w:r>
    </w:p>
    <w:p>
      <w:pPr>
        <w:pStyle w:val="ListBullet"/>
      </w:pPr>
      <w:r>
        <w:t>data/processed/arrhythmia_2023_01_to_current_vital_historical_enrichment.csv: historical enrichment analysis.</w:t>
      </w:r>
    </w:p>
    <w:p>
      <w:pPr>
        <w:pStyle w:val="ListBullet"/>
      </w:pPr>
      <w:r>
        <w:t>data/processed/arrhythmia_2023_01_to_current_vital_historical_ac_threshold_sensitivity.csv: historical AC threshold sensitivity and red-set stability.</w:t>
      </w:r>
    </w:p>
    <w:p>
      <w:pPr>
        <w:pStyle w:val="ListBullet"/>
      </w:pPr>
      <w:r>
        <w:t>data/processed/arrhythmia_2023_01_to_current_vital_historical_threshold_calibration.csv: exploratory historical threshold calibration.</w:t>
      </w:r>
    </w:p>
    <w:p>
      <w:pPr>
        <w:pStyle w:val="ListBullet"/>
      </w:pPr>
      <w:r>
        <w:t>data/processed/arrhythmia_2023_01_to_current_vital_historical_threshold_calibration_field_mapping_inconsistent.csv: retained pre-fix calibration audit artifact showing the zero-flag field-mapping inconsistency.</w:t>
      </w:r>
    </w:p>
    <w:p>
      <w:pPr>
        <w:pStyle w:val="ListBullet"/>
      </w:pPr>
      <w:r>
        <w:t>data/processed/arrhythmia_2023_01_to_current_vital_historical_threshold_calibration_field_mapping_audit.csv: corrected calibration field-mapping audit, including KCNH2 historical red status.</w:t>
      </w:r>
    </w:p>
    <w:p>
      <w:pPr>
        <w:pStyle w:val="ListBullet"/>
      </w:pPr>
      <w:r>
        <w:t>data/processed/arrhythmia_2023_01_to_current_vital_historical_threshold_calibration_mapping_fix_summary.csv: before/after summary of the calibration field-mapping fix.</w:t>
      </w:r>
    </w:p>
    <w:p>
      <w:pPr>
        <w:pStyle w:val="ListBullet"/>
      </w:pPr>
      <w:r>
        <w:t>data/processed/combined_2023_01_to_current_vital_historical_endpoint_summary.csv: within-domain and pooled-deduplicated strict/broad/expanded historical endpoint summary.</w:t>
      </w:r>
    </w:p>
    <w:p>
      <w:pPr>
        <w:pStyle w:val="ListBullet"/>
      </w:pPr>
      <w:r>
        <w:t>data/processed/combined_2023_01_to_current_vital_historical_sanity_domain_summary.csv: baseline n, red counts, duplicates, and missing follow-up counts by domain.</w:t>
      </w:r>
    </w:p>
    <w:p>
      <w:pPr>
        <w:pStyle w:val="ListBullet"/>
      </w:pPr>
      <w:r>
        <w:t>data/processed/combined_2023_01_to_current_vital_historical_alignment_breakdown.csv: missing VariationID breakdown into disappeared versus mapping-failure categories.</w:t>
      </w:r>
    </w:p>
    <w:p>
      <w:pPr>
        <w:pStyle w:val="ListBullet"/>
      </w:pPr>
      <w:r>
        <w:t>data/processed/combined_2023_01_to_current_vital_historical_cross_domain_dedupe_decisions.csv: cross-domain duplicate decisions with kept domain and reason_kept.</w:t>
      </w:r>
    </w:p>
    <w:p>
      <w:pPr>
        <w:pStyle w:val="ListBullet"/>
      </w:pPr>
      <w:r>
        <w:t>data/processed/combined_2023_01_to_current_vital_historical_stratified_bootstrap_summary.csv: stratified bootstrap binary-noise sensitivity summary.</w:t>
      </w:r>
    </w:p>
    <w:p>
      <w:pPr>
        <w:pStyle w:val="ListBullet"/>
      </w:pPr>
      <w:r>
        <w:t>data/processed/combined_2023_01_to_current_vital_historical_threshold_calibration.csv: pooled and within-domain historical threshold calibration.</w:t>
      </w:r>
    </w:p>
    <w:p>
      <w:pPr>
        <w:pStyle w:val="ListBullet"/>
      </w:pPr>
      <w:r>
        <w:t>data/processed/combined_2023_01_to_current_vital_historical_threshold_calibration_mapping_fix_summary.csv: pooled and within-domain before/after field-mapping fix summary.</w:t>
      </w:r>
    </w:p>
    <w:p>
      <w:pPr>
        <w:pStyle w:val="ListBullet"/>
      </w:pPr>
      <w:r>
        <w:t>data/processed/vital_external_panel_summary.csv: external-domain and control stress-test summary.</w:t>
      </w:r>
    </w:p>
    <w:p>
      <w:pPr>
        <w:pStyle w:val="ListBullet"/>
      </w:pPr>
      <w:r>
        <w:t>data/processed/vital_external_panel_score_distribution.csv: external score distribution table.</w:t>
      </w:r>
    </w:p>
    <w:p>
      <w:pPr>
        <w:pStyle w:val="ListBullet"/>
      </w:pPr>
      <w:r>
        <w:t>data/processed/vital_cross_disease_3000_cross_disease_validation_summary.csv: independent current 3,000-variant cross-disease portability summary with Wilson confidence intervals.</w:t>
      </w:r>
    </w:p>
    <w:p>
      <w:pPr>
        <w:pStyle w:val="ListBullet"/>
      </w:pPr>
      <w:r>
        <w:t>data/processed/vital_cross_disease_3000_cross_disease_outliers.csv: current cross-disease VITAL-red and high-score outliers for manual review.</w:t>
      </w:r>
    </w:p>
    <w:p>
      <w:pPr>
        <w:pStyle w:val="ListBullet"/>
      </w:pPr>
      <w:r>
        <w:t>data/processed/vital_cross_disease_3000_sample_sanity_checks.csv: arrhythmia leakage, previous-panel overlap, and duplicate checks for the current 3,000-variant validation sample.</w:t>
      </w:r>
    </w:p>
    <w:p>
      <w:pPr>
        <w:pStyle w:val="ListBullet"/>
      </w:pPr>
      <w:r>
        <w:t>data/processed/vital_cross_disease_3000_2023_01_to_current_vital_historical_validation.csv: independent 3,000-variant historical cross-disease validation against strict, broad, and expanded endpoints.</w:t>
      </w:r>
    </w:p>
    <w:p>
      <w:pPr>
        <w:pStyle w:val="ListBullet"/>
      </w:pPr>
      <w:r>
        <w:t>data/processed/vital_cross_disease_3000_2023_01_to_current_vital_historical_enrichment.csv: independent historical enrichment table with Wilson and Haldane-corrected intervals.</w:t>
      </w:r>
    </w:p>
    <w:p>
      <w:pPr>
        <w:pStyle w:val="ListBullet"/>
      </w:pPr>
      <w:r>
        <w:t>run_vital.py: lightweight cached VITAL demo runner for a single VCV ID or CSV batch input.</w:t>
      </w:r>
    </w:p>
    <w:p>
      <w:pPr>
        <w:pStyle w:val="ListBullet"/>
      </w:pPr>
      <w:r>
        <w:t>notebooks/vital_demo_colab.ipynb: Google Colab demonstration for trying VITAL on cached examples without API calls.</w:t>
      </w:r>
    </w:p>
    <w:p>
      <w:pPr>
        <w:pStyle w:val="ListBullet"/>
      </w:pPr>
      <w:r>
        <w:t>data/examples/sample_variants.csv: three-variant sample CSV for the Colab batch mode.</w:t>
      </w:r>
    </w:p>
    <w:p>
      <w:pPr>
        <w:pStyle w:val="ListBullet"/>
      </w:pPr>
      <w:r>
        <w:t>data/processed/vital_top_suspicious.csv: short demo table of top VITAL-priority cached examples.</w:t>
      </w:r>
    </w:p>
    <w:p>
      <w:pPr>
        <w:pStyle w:val="ListBullet"/>
      </w:pPr>
      <w:r>
        <w:t>figures/vital_clinical_workflow.png: clinician-facing workflow schematic linking ClinVar input, VITAL risk prioritization, review queue, and expert decision-making.</w:t>
      </w:r>
    </w:p>
    <w:p>
      <w:pPr>
        <w:pStyle w:val="ListBullet"/>
      </w:pPr>
      <w:r>
        <w:t>figures/vital_gray_zone_workflow.png: no-frequency-evidence workflow schematic for gray variants.</w:t>
      </w:r>
    </w:p>
    <w:p>
      <w:pPr>
        <w:pStyle w:val="ListBullet"/>
      </w:pPr>
      <w:r>
        <w:t>figures/vital_external_panel_score_distribution.png: external score distribution figure.</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 variants.</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