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Severe variant annotations can coexist with ancestry-aware population-frequency contradiction. We tested whether ClinVar pathogenic/likely pathogenic (P/LP) arrhythmia assertions remain frequency-consistent when evaluated with popmax, allele count (AC), variant representation, and review support rather than global AF alone, and whether discordant assertions reveal systematically misframed biology rather than random noise.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We developed VITAL (Variant Interpretation Tension and Allele Load) as an explainable re-review prioritization framework and defined a compact pathogenicity-label ontology for routing discordant assertions, not an automated reclassification engine.</w:t>
      </w:r>
    </w:p>
    <w:p>
      <w:r>
        <w:rPr>
          <w:b/>
        </w:rPr>
        <w:t>Results:</w:t>
      </w:r>
      <w:r>
        <w:t xml:space="preserve"> Only 350/1,731 variants (20.2%) had exact gnomAD allele matches, and 334 had usable AF evidence.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Mechanism triage showed recurrent label-framing distortion rather than a simple error-rate estimate: carrier-compatible recessive assertions were presented as generic P/LP, context-dependent susceptibility appeared as Mendelian pathogenicity, and severe annotation sometimes substituted for mechanism-specific evidence. Because patient-level outcomes are not observable in public ClinVar, we quantified decision-risk exposure: the 115 frequency-discordant arrhythmia records represented at least 168 submitter-exposure units, 9 AC-supported records represented 15 units, and VITAL compressed these to 3 urgent records. In an independent 3,000-variant cross-disease historical audit, VITAL-red captured one real P/LP-to-VUS reclassification (CFAP91 VCV000812096), while an expert-panel RYR1 downgrade without frequency tension remained outside scope.</w:t>
      </w:r>
    </w:p>
    <w:p>
      <w:r>
        <w:rPr>
          <w:b/>
        </w:rPr>
        <w:t>Conclusion:</w:t>
      </w:r>
      <w:r>
        <w:t xml:space="preserve"> Severe annotation alone is not sufficient to override population-frequency contradiction. A subset of public P/LP assertions appears biologically misframed rather than merely uncertain: susceptibility is not equivalent to Mendelian disease, carrier architecture is not equivalent to dominant pathogenicity, and severe annotation is not equivalent to high penetrance. A label-state ontology makes these distortions clinically actionable as review routes while preserving expert responsibility for final classification.</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may be biologically misframed: susceptibility or drug-response haplotypes can be flattened into Mendelian pathogenicity, recessive carrier states can masquerade as dominant disease assertions, and severe annotations can inflate confidence when mechanism-specific evidence is thin. We introduce VITAL as an explainable re-review prioritization framework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These thresholds were used for review prioritization, not automatic classification.</w:t>
      </w:r>
    </w:p>
    <w:p>
      <w:pPr>
        <w:pStyle w:val="Heading2"/>
      </w:pPr>
      <w:r>
        <w:t>VITAL score and red-priority gate</w:t>
      </w:r>
    </w:p>
    <w:p>
      <w:r>
        <w:t>VITAL is a 0-100 frequency-assertion tension score.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Because public ClinVar does not expose patient counts, we quantified clinical decision-risk exposure using record counts and minimum submitter-exposure units, with missing submitter counts treated conservatively as one unit.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p>
      <w:r>
        <w:t>Among AF-observed variants, most were globally ultra-rare: 321/334 (96.1%) had global AF &lt;=1e-5. This global view was misleading because many globally rare variants were population-enriched by popmax.</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Non-overlap was not random.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Among 334 AF-observed arrhythmia variants, 115 (34.4%) had popmax/global AF &gt;1e-5. Among LOF/splice assertions, 92/262 (35.1%) were frequency-discordant, similar to missense assertions (19/66, 28.8%; Fisher OR=1.34, p=0.384). Frameshift, stop-gained, and canonical splice variants all showed naive frequency discordance.</w:t>
      </w:r>
    </w:p>
    <w:p>
      <w:r>
        <w:t>This result does not mean that 35.1% of LOF/splice assertions are wrong. It means that the P/LP label often lacks the biological frame needed to interpret the assertion safely.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Workflow-concordance benchmarking supported the selected red gate but was not treated as diagnostic accuracy. The proxy positives were weak-review, AC-supported frequency signals; VITAL red captured the 3 operational positives at cutoffs 65-70 while avoiding proxy false-positive urgent review triggers. Sensitivity details are provided in supplementary tables.</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Variant</w:t>
            </w:r>
          </w:p>
        </w:tc>
        <w:tc>
          <w:tcPr>
            <w:tcW w:type="dxa" w:w="2074"/>
            <w:vAlign w:val="top"/>
            <w:shd w:fill="D9EAF7"/>
          </w:tcPr>
          <w:p>
            <w:pPr>
              <w:jc w:val="left"/>
            </w:pPr>
            <w:r/>
            <w:r>
              <w:rPr>
                <w:b/>
                <w:sz w:val="16"/>
              </w:rPr>
              <w:t>AF/AC signal</w:t>
            </w:r>
          </w:p>
        </w:tc>
        <w:tc>
          <w:tcPr>
            <w:tcW w:type="dxa" w:w="2074"/>
            <w:vAlign w:val="top"/>
            <w:shd w:fill="D9EAF7"/>
          </w:tcPr>
          <w:p>
            <w:pPr>
              <w:jc w:val="left"/>
            </w:pPr>
            <w:r/>
            <w:r>
              <w:rPr>
                <w:b/>
                <w:sz w:val="16"/>
              </w:rPr>
              <w:t>Review support</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Misframed-biology mode</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AFR popmax AF=5.68e-3; AC=190</w:t>
            </w:r>
          </w:p>
        </w:tc>
        <w:tc>
          <w:tcPr>
            <w:tcW w:type="dxa" w:w="2074"/>
            <w:vAlign w:val="top"/>
          </w:tcPr>
          <w:p>
            <w:pPr>
              <w:jc w:val="left"/>
            </w:pPr>
            <w:r/>
            <w:r>
              <w:rPr>
                <w:b w:val="0"/>
                <w:sz w:val="16"/>
              </w:rPr>
              <w:t>No assertion criteria</w:t>
            </w:r>
          </w:p>
        </w:tc>
        <w:tc>
          <w:tcPr>
            <w:tcW w:type="dxa" w:w="2074"/>
            <w:vAlign w:val="top"/>
          </w:tcPr>
          <w:p>
            <w:pPr>
              <w:jc w:val="left"/>
            </w:pPr>
            <w:r/>
            <w:r>
              <w:rPr>
                <w:b w:val="0"/>
                <w:sz w:val="16"/>
              </w:rPr>
              <w:t>96.1</w:t>
            </w:r>
          </w:p>
        </w:tc>
        <w:tc>
          <w:tcPr>
            <w:tcW w:type="dxa" w:w="2074"/>
            <w:vAlign w:val="top"/>
          </w:tcPr>
          <w:p>
            <w:pPr>
              <w:jc w:val="left"/>
            </w:pPr>
            <w:r/>
            <w:r>
              <w:rPr>
                <w:b w:val="0"/>
                <w:sz w:val="16"/>
              </w:rPr>
              <w:t>Susceptibility/haplotype inflated into Mendelian P/LP</w:t>
            </w:r>
          </w:p>
        </w:tc>
      </w:tr>
      <w:tr>
        <w:tc>
          <w:tcPr>
            <w:tcW w:type="dxa" w:w="2074"/>
            <w:vAlign w:val="top"/>
          </w:tcPr>
          <w:p>
            <w:pPr>
              <w:jc w:val="left"/>
            </w:pPr>
            <w:r/>
            <w:r>
              <w:rPr>
                <w:b w:val="0"/>
                <w:sz w:val="16"/>
              </w:rPr>
              <w:t>TRDN VCV001325231, c.1050del</w:t>
            </w:r>
          </w:p>
        </w:tc>
        <w:tc>
          <w:tcPr>
            <w:tcW w:type="dxa" w:w="2074"/>
            <w:vAlign w:val="top"/>
          </w:tcPr>
          <w:p>
            <w:pPr>
              <w:jc w:val="left"/>
            </w:pPr>
            <w:r/>
            <w:r>
              <w:rPr>
                <w:b w:val="0"/>
                <w:sz w:val="16"/>
              </w:rPr>
              <w:t>Global AC=40; AMR popmax AF=2.18e-4</w:t>
            </w:r>
          </w:p>
        </w:tc>
        <w:tc>
          <w:tcPr>
            <w:tcW w:type="dxa" w:w="2074"/>
            <w:vAlign w:val="top"/>
          </w:tcPr>
          <w:p>
            <w:pPr>
              <w:jc w:val="left"/>
            </w:pPr>
            <w:r/>
            <w:r>
              <w:rPr>
                <w:b w:val="0"/>
                <w:sz w:val="16"/>
              </w:rPr>
              <w:t>Single submitter</w:t>
            </w:r>
          </w:p>
        </w:tc>
        <w:tc>
          <w:tcPr>
            <w:tcW w:type="dxa" w:w="2074"/>
            <w:vAlign w:val="top"/>
          </w:tcPr>
          <w:p>
            <w:pPr>
              <w:jc w:val="left"/>
            </w:pPr>
            <w:r/>
            <w:r>
              <w:rPr>
                <w:b w:val="0"/>
                <w:sz w:val="16"/>
              </w:rPr>
              <w:t>74.3</w:t>
            </w:r>
          </w:p>
        </w:tc>
        <w:tc>
          <w:tcPr>
            <w:tcW w:type="dxa" w:w="2074"/>
            <w:vAlign w:val="top"/>
          </w:tcPr>
          <w:p>
            <w:pPr>
              <w:jc w:val="left"/>
            </w:pPr>
            <w:r/>
            <w:r>
              <w:rPr>
                <w:b w:val="0"/>
                <w:sz w:val="16"/>
              </w:rPr>
              <w:t>Carrier architecture framed without affected-state context</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Global AC=24; ASJ popmax AF=1.32e-4</w:t>
            </w:r>
          </w:p>
        </w:tc>
        <w:tc>
          <w:tcPr>
            <w:tcW w:type="dxa" w:w="2074"/>
            <w:vAlign w:val="top"/>
          </w:tcPr>
          <w:p>
            <w:pPr>
              <w:jc w:val="left"/>
            </w:pPr>
            <w:r/>
            <w:r>
              <w:rPr>
                <w:b w:val="0"/>
                <w:sz w:val="16"/>
              </w:rPr>
              <w:t>Single submitter</w:t>
            </w:r>
          </w:p>
        </w:tc>
        <w:tc>
          <w:tcPr>
            <w:tcW w:type="dxa" w:w="2074"/>
            <w:vAlign w:val="top"/>
          </w:tcPr>
          <w:p>
            <w:pPr>
              <w:jc w:val="left"/>
            </w:pPr>
            <w:r/>
            <w:r>
              <w:rPr>
                <w:b w:val="0"/>
                <w:sz w:val="16"/>
              </w:rPr>
              <w:t>70.3</w:t>
            </w:r>
          </w:p>
        </w:tc>
        <w:tc>
          <w:tcPr>
            <w:tcW w:type="dxa" w:w="2074"/>
            <w:vAlign w:val="top"/>
          </w:tcPr>
          <w:p>
            <w:pPr>
              <w:jc w:val="left"/>
            </w:pPr>
            <w:r/>
            <w:r>
              <w:rPr>
                <w:b w:val="0"/>
                <w:sz w:val="16"/>
              </w:rPr>
              <w:t>Borderline severe-annotation inflation under weak evidence</w:t>
            </w:r>
          </w:p>
        </w:tc>
      </w:tr>
    </w:tbl>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VITAL does not declare them benign. It identifies records in which the public label may be too broad for the underlying biology.</w:t>
      </w:r>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pPr>
        <w:pStyle w:val="Heading2"/>
      </w:pPr>
      <w:r>
        <w:t>Clinical decision-risk exposure is small but concrete</w:t>
      </w:r>
    </w:p>
    <w:p>
      <w:r>
        <w:t>Public ClinVar cannot tell us how many patients were misdiagnosed or how many relatives underwent cascade testing. It can, however, quantify the public assertion burden capable of creating those decisions. We therefore used a conservative exposure proxy: one P/LP record equals one potential decision-risk record, and each submitter contributes one minimum submitter-exposure unit; missing submitter counts were counted as one.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Cohort and layer</w:t>
            </w:r>
          </w:p>
        </w:tc>
        <w:tc>
          <w:tcPr>
            <w:tcW w:type="dxa" w:w="2592"/>
            <w:vAlign w:val="top"/>
            <w:shd w:fill="D9EAF7"/>
          </w:tcPr>
          <w:p>
            <w:pPr>
              <w:jc w:val="left"/>
            </w:pPr>
            <w:r/>
            <w:r>
              <w:rPr>
                <w:b/>
                <w:sz w:val="16"/>
              </w:rPr>
              <w:t>Records</w:t>
            </w:r>
          </w:p>
        </w:tc>
        <w:tc>
          <w:tcPr>
            <w:tcW w:type="dxa" w:w="2592"/>
            <w:vAlign w:val="top"/>
            <w:shd w:fill="D9EAF7"/>
          </w:tcPr>
          <w:p>
            <w:pPr>
              <w:jc w:val="left"/>
            </w:pPr>
            <w:r/>
            <w:r>
              <w:rPr>
                <w:b/>
                <w:sz w:val="16"/>
              </w:rPr>
              <w:t>Minimum submitter-exposure units</w:t>
            </w:r>
          </w:p>
        </w:tc>
        <w:tc>
          <w:tcPr>
            <w:tcW w:type="dxa" w:w="2592"/>
            <w:vAlign w:val="top"/>
            <w:shd w:fill="D9EAF7"/>
          </w:tcPr>
          <w:p>
            <w:pPr>
              <w:jc w:val="left"/>
            </w:pPr>
            <w:r/>
            <w:r>
              <w:rPr>
                <w:b/>
                <w:sz w:val="16"/>
              </w:rPr>
              <w:t>Clinical meaning</w:t>
            </w:r>
          </w:p>
        </w:tc>
      </w:tr>
      <w:tr>
        <w:tc>
          <w:tcPr>
            <w:tcW w:type="dxa" w:w="2592"/>
            <w:vAlign w:val="top"/>
          </w:tcPr>
          <w:p>
            <w:pPr>
              <w:jc w:val="left"/>
            </w:pPr>
            <w:r/>
            <w:r>
              <w:rPr>
                <w:b w:val="0"/>
                <w:sz w:val="16"/>
              </w:rPr>
              <w:t>Arrhythmia frequency-discordant P/LP upper bound</w:t>
            </w:r>
          </w:p>
        </w:tc>
        <w:tc>
          <w:tcPr>
            <w:tcW w:type="dxa" w:w="2592"/>
            <w:vAlign w:val="top"/>
          </w:tcPr>
          <w:p>
            <w:pPr>
              <w:jc w:val="left"/>
            </w:pPr>
            <w:r/>
            <w:r>
              <w:rPr>
                <w:b w:val="0"/>
                <w:sz w:val="16"/>
              </w:rPr>
              <w:t>115</w:t>
            </w:r>
          </w:p>
        </w:tc>
        <w:tc>
          <w:tcPr>
            <w:tcW w:type="dxa" w:w="2592"/>
            <w:vAlign w:val="top"/>
          </w:tcPr>
          <w:p>
            <w:pPr>
              <w:jc w:val="left"/>
            </w:pPr>
            <w:r/>
            <w:r>
              <w:rPr>
                <w:b w:val="0"/>
                <w:sz w:val="16"/>
              </w:rPr>
              <w:t>168</w:t>
            </w:r>
          </w:p>
        </w:tc>
        <w:tc>
          <w:tcPr>
            <w:tcW w:type="dxa" w:w="2592"/>
            <w:vAlign w:val="top"/>
          </w:tcPr>
          <w:p>
            <w:pPr>
              <w:jc w:val="left"/>
            </w:pPr>
            <w:r/>
            <w:r>
              <w:rPr>
                <w:b w:val="0"/>
                <w:sz w:val="16"/>
              </w:rPr>
              <w:t>Labels that could mislead if accepted without ancestry-aware frequency review</w:t>
            </w:r>
          </w:p>
        </w:tc>
      </w:tr>
      <w:tr>
        <w:tc>
          <w:tcPr>
            <w:tcW w:type="dxa" w:w="2592"/>
            <w:vAlign w:val="top"/>
          </w:tcPr>
          <w:p>
            <w:pPr>
              <w:jc w:val="left"/>
            </w:pPr>
            <w:r/>
            <w:r>
              <w:rPr>
                <w:b w:val="0"/>
                <w:sz w:val="16"/>
              </w:rPr>
              <w:t>Arrhythmia AC-supported active-review layer</w:t>
            </w:r>
          </w:p>
        </w:tc>
        <w:tc>
          <w:tcPr>
            <w:tcW w:type="dxa" w:w="2592"/>
            <w:vAlign w:val="top"/>
          </w:tcPr>
          <w:p>
            <w:pPr>
              <w:jc w:val="left"/>
            </w:pPr>
            <w:r/>
            <w:r>
              <w:rPr>
                <w:b w:val="0"/>
                <w:sz w:val="16"/>
              </w:rPr>
              <w:t>9</w:t>
            </w:r>
          </w:p>
        </w:tc>
        <w:tc>
          <w:tcPr>
            <w:tcW w:type="dxa" w:w="2592"/>
            <w:vAlign w:val="top"/>
          </w:tcPr>
          <w:p>
            <w:pPr>
              <w:jc w:val="left"/>
            </w:pPr>
            <w:r/>
            <w:r>
              <w:rPr>
                <w:b w:val="0"/>
                <w:sz w:val="16"/>
              </w:rPr>
              <w:t>15</w:t>
            </w:r>
          </w:p>
        </w:tc>
        <w:tc>
          <w:tcPr>
            <w:tcW w:type="dxa" w:w="2592"/>
            <w:vAlign w:val="top"/>
          </w:tcPr>
          <w:p>
            <w:pPr>
              <w:jc w:val="left"/>
            </w:pPr>
            <w:r/>
            <w:r>
              <w:rPr>
                <w:b w:val="0"/>
                <w:sz w:val="16"/>
              </w:rPr>
              <w:t>Frequency contradiction has allele-count support</w:t>
            </w:r>
          </w:p>
        </w:tc>
      </w:tr>
      <w:tr>
        <w:tc>
          <w:tcPr>
            <w:tcW w:type="dxa" w:w="2592"/>
            <w:vAlign w:val="top"/>
          </w:tcPr>
          <w:p>
            <w:pPr>
              <w:jc w:val="left"/>
            </w:pPr>
            <w:r/>
            <w:r>
              <w:rPr>
                <w:b w:val="0"/>
                <w:sz w:val="16"/>
              </w:rPr>
              <w:t>Arrhythmia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Short queue with weak review plus AC-supported frequency contradiction</w:t>
            </w:r>
          </w:p>
        </w:tc>
      </w:tr>
      <w:tr>
        <w:tc>
          <w:tcPr>
            <w:tcW w:type="dxa" w:w="2592"/>
            <w:vAlign w:val="top"/>
          </w:tcPr>
          <w:p>
            <w:pPr>
              <w:jc w:val="left"/>
            </w:pPr>
            <w:r/>
            <w:r>
              <w:rPr>
                <w:b w:val="0"/>
                <w:sz w:val="16"/>
              </w:rPr>
              <w:t>Arrhythmia standard-context red</w:t>
            </w:r>
          </w:p>
        </w:tc>
        <w:tc>
          <w:tcPr>
            <w:tcW w:type="dxa" w:w="2592"/>
            <w:vAlign w:val="top"/>
          </w:tcPr>
          <w:p>
            <w:pPr>
              <w:jc w:val="left"/>
            </w:pPr>
            <w:r/>
            <w:r>
              <w:rPr>
                <w:b w:val="0"/>
                <w:sz w:val="16"/>
              </w:rPr>
              <w:t>2</w:t>
            </w:r>
          </w:p>
        </w:tc>
        <w:tc>
          <w:tcPr>
            <w:tcW w:type="dxa" w:w="2592"/>
            <w:vAlign w:val="top"/>
          </w:tcPr>
          <w:p>
            <w:pPr>
              <w:jc w:val="left"/>
            </w:pPr>
            <w:r/>
            <w:r>
              <w:rPr>
                <w:b w:val="0"/>
                <w:sz w:val="16"/>
              </w:rPr>
              <w:t>2</w:t>
            </w:r>
          </w:p>
        </w:tc>
        <w:tc>
          <w:tcPr>
            <w:tcW w:type="dxa" w:w="2592"/>
            <w:vAlign w:val="top"/>
          </w:tcPr>
          <w:p>
            <w:pPr>
              <w:jc w:val="left"/>
            </w:pPr>
            <w:r/>
            <w:r>
              <w:rPr>
                <w:b w:val="0"/>
                <w:sz w:val="16"/>
              </w:rPr>
              <w:t>Potential monogenic-label risk for diagnostic closure/cascade testing</w:t>
            </w:r>
          </w:p>
        </w:tc>
      </w:tr>
      <w:tr>
        <w:tc>
          <w:tcPr>
            <w:tcW w:type="dxa" w:w="2592"/>
            <w:vAlign w:val="top"/>
          </w:tcPr>
          <w:p>
            <w:pPr>
              <w:jc w:val="left"/>
            </w:pPr>
            <w:r/>
            <w:r>
              <w:rPr>
                <w:b w:val="0"/>
                <w:sz w:val="16"/>
              </w:rPr>
              <w:t>Arrhythmia recessive-context red</w:t>
            </w:r>
          </w:p>
        </w:tc>
        <w:tc>
          <w:tcPr>
            <w:tcW w:type="dxa" w:w="2592"/>
            <w:vAlign w:val="top"/>
          </w:tcPr>
          <w:p>
            <w:pPr>
              <w:jc w:val="left"/>
            </w:pPr>
            <w:r/>
            <w:r>
              <w:rPr>
                <w:b w:val="0"/>
                <w:sz w:val="16"/>
              </w:rPr>
              <w:t>1</w:t>
            </w:r>
          </w:p>
        </w:tc>
        <w:tc>
          <w:tcPr>
            <w:tcW w:type="dxa" w:w="2592"/>
            <w:vAlign w:val="top"/>
          </w:tcPr>
          <w:p>
            <w:pPr>
              <w:jc w:val="left"/>
            </w:pPr>
            <w:r/>
            <w:r>
              <w:rPr>
                <w:b w:val="0"/>
                <w:sz w:val="16"/>
              </w:rPr>
              <w:t>1</w:t>
            </w:r>
          </w:p>
        </w:tc>
        <w:tc>
          <w:tcPr>
            <w:tcW w:type="dxa" w:w="2592"/>
            <w:vAlign w:val="top"/>
          </w:tcPr>
          <w:p>
            <w:pPr>
              <w:jc w:val="left"/>
            </w:pPr>
            <w:r/>
            <w:r>
              <w:rPr>
                <w:b w:val="0"/>
                <w:sz w:val="16"/>
              </w:rPr>
              <w:t>Carrier-architecture routing risk if phase/inheritance is ignored</w:t>
            </w:r>
          </w:p>
        </w:tc>
      </w:tr>
      <w:tr>
        <w:tc>
          <w:tcPr>
            <w:tcW w:type="dxa" w:w="2592"/>
            <w:vAlign w:val="top"/>
          </w:tcPr>
          <w:p>
            <w:pPr>
              <w:jc w:val="left"/>
            </w:pPr>
            <w:r/>
            <w:r>
              <w:rPr>
                <w:b w:val="0"/>
                <w:sz w:val="16"/>
              </w:rPr>
              <w:t>Cross-disease 3,000-sample frequency-discordant upper bound</w:t>
            </w:r>
          </w:p>
        </w:tc>
        <w:tc>
          <w:tcPr>
            <w:tcW w:type="dxa" w:w="2592"/>
            <w:vAlign w:val="top"/>
          </w:tcPr>
          <w:p>
            <w:pPr>
              <w:jc w:val="left"/>
            </w:pPr>
            <w:r/>
            <w:r>
              <w:rPr>
                <w:b w:val="0"/>
                <w:sz w:val="16"/>
              </w:rPr>
              <w:t>332</w:t>
            </w:r>
          </w:p>
        </w:tc>
        <w:tc>
          <w:tcPr>
            <w:tcW w:type="dxa" w:w="2592"/>
            <w:vAlign w:val="top"/>
          </w:tcPr>
          <w:p>
            <w:pPr>
              <w:jc w:val="left"/>
            </w:pPr>
            <w:r/>
            <w:r>
              <w:rPr>
                <w:b w:val="0"/>
                <w:sz w:val="16"/>
              </w:rPr>
              <w:t>1,962</w:t>
            </w:r>
          </w:p>
        </w:tc>
        <w:tc>
          <w:tcPr>
            <w:tcW w:type="dxa" w:w="2592"/>
            <w:vAlign w:val="top"/>
          </w:tcPr>
          <w:p>
            <w:pPr>
              <w:jc w:val="left"/>
            </w:pPr>
            <w:r/>
            <w:r>
              <w:rPr>
                <w:b w:val="0"/>
                <w:sz w:val="16"/>
              </w:rPr>
              <w:t>Cross-disease scale of public label exposure</w:t>
            </w:r>
          </w:p>
        </w:tc>
      </w:tr>
      <w:tr>
        <w:tc>
          <w:tcPr>
            <w:tcW w:type="dxa" w:w="2592"/>
            <w:vAlign w:val="top"/>
          </w:tcPr>
          <w:p>
            <w:pPr>
              <w:jc w:val="left"/>
            </w:pPr>
            <w:r/>
            <w:r>
              <w:rPr>
                <w:b w:val="0"/>
                <w:sz w:val="16"/>
              </w:rPr>
              <w:t>Cross-disease 3,000-sample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Conservative portability check outside arrhythmia</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severe annotation does not override population evidence, and the deeper problem is pathogenicity-label distortion. Up to 35.1% of AF-observed LOF/splice ClinVar P/LP arrhythmia assertions showed ancestry-aware frequency discordance. That figure is not an error rate: many cases are compatible with recessive carrier architecture or lack AC support for immediate action. The clinical risk is subtler. A severe-looking ClinVar assertion can be mechanistically plausible in one frame and still misleading as a generic high-penetrance P/LP label.</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 Similarly, absence from gnomAD cannot be treated uniformly as rarity because indels and duplications are underrepresented by exact allele matching.</w:t>
      </w:r>
    </w:p>
    <w:p>
      <w:r>
        <w:t>VITAL's contribution is workflow compression with explainability, but its scientific role is to make this label distortion inspectable. It transforms 115 naive AF alerts into 3 urgent review cases while preserving gray no-frequency-evidence states and component-level explanations. This is not a replacement for ACMG/AMP interpretation, ClinGen specification, functional evidence, phenotype review, or laboratory judgment. It is a way to decide what to inspect first when frequency and clinical assertion are visibly misaligned.</w:t>
      </w:r>
    </w:p>
    <w:p>
      <w:r>
        <w:t>The three red-priority arrhythmia cases illustrate why a single AF threshold is insufficient and why label framing matters clinically.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The clinical consequence is not abstract, even though patient-level outcomes are unavailable. In the arrhythmia panel, 115 public P/LP records carried ancestry-aware frequency contradiction, representing at least 168 submitter-exposure units. Nine records had AC-supported contradiction, and 3 were urgent VITAL-red records. Two of those were standard-context red calls, where a generic Mendelian label could plausibly promote diagnostic closure, cascade testing, or surveillance before adjudication; one was a recessive-context TRDN call, where the immediate risk is inappropriate dominant-risk framing. VITAL therefore does not count proven misdiagnoses, but it converts hidden label exposure into an auditable review queue.</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historical validation is sparse. VITAL-red captured 1/23 strict future P/LP-to-VUS/B/LB events in the 3,000-variant audit, confirming that it is not a sensitive predictor of all future reclassification. Its intended endpoint is high-specificity frequency-assertion prioritization.</w:t>
      </w:r>
    </w:p>
    <w:p>
      <w:r>
        <w:t>Third, the score and ontology do not directly model penetrance, phase, zygosity, inheritance, phenotype specificity, segregation, MAVE/functional data, transcript rescue, NMD, or private laboratory evidence. These remain expert review tasks.</w:t>
      </w:r>
    </w:p>
    <w:p>
      <w:r>
        <w:t>Fourth, workflow-concordance benchmarking uses proxy labels and is partly circular because weak review and AC-supported frequency evidence help define both the operational positives and the red gate. These metrics should be read as burden diagnostics, not diagnostic accuracy.</w:t>
      </w:r>
    </w:p>
    <w:p>
      <w:r>
        <w:t>Fifth, public ClinVar captures classification-level changes, not patient-level downstream effects. We can quantify public decision-risk exposure as records and minimum submitter-exposure units, but not actual diagnosis reversal, cascade-testing uptake,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temporal robustness outputs, clinical decision-risk proxy outputs,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