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Frequency Tension Is Common but Hidden in ClinVar Pathogenic Arrhythmia Variants: VITAL Prioritizes Re-Review</w:t>
      </w:r>
    </w:p>
    <w:p>
      <w:pPr>
        <w:pStyle w:val="Heading1"/>
      </w:pPr>
      <w:r>
        <w:t>Abstract</w:t>
      </w:r>
    </w:p>
    <w:p>
      <w:r>
        <w:rPr>
          <w:b/>
        </w:rPr>
        <w:t>Purpose:</w:t>
      </w:r>
      <w:r>
        <w:t xml:space="preserve"> One in three ClinVar P/LP arrhythmia variants with complete population data are rare globally but enriched in at least one ancestry, creating a contradiction that is invisible to global-AF-only workflows. We evaluated this hidden frequency tension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validation set, naive AF screening flagged 332 variants (11.1%; 95% CI 10.0%-12.2%), whereas the red-priority queue contained 3 (0.10%; 95% CI 0.034%-0.294%). Historical validation confirmed the operating profile: high specificity, low recall, and usefulness for review-burden compression rather than broad prediction.</w:t>
      </w:r>
    </w:p>
    <w:p>
      <w:r>
        <w:rPr>
          <w:b/>
        </w:rPr>
        <w:t>Conclusion:</w:t>
      </w:r>
      <w:r>
        <w:t xml:space="preserve"> Frequency tension is common, but actionable review should be rare. VITAL turns hidden population-frequency contradictions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r>
        <w:t>The central message is therefore simple: frequency tension is not rare; it is systematically hidden by global-AF-only workflows and by the tendency to treat missing frequency evidence as absence.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7" name="Picture 7"/>
            <wp:cNvGraphicFramePr>
              <a:graphicFrameLocks noChangeAspect="1"/>
            </wp:cNvGraphicFramePr>
            <a:graphic>
              <a:graphicData uri="http://schemas.openxmlformats.org/drawingml/2006/picture">
                <pic:pic>
                  <pic:nvPicPr>
                    <pic:cNvPr id="0" name="vital_biological_contrast_cases.png"/>
                    <pic:cNvPicPr/>
                  </pic:nvPicPr>
                  <pic:blipFill>
                    <a:blip r:embed="rId15"/>
                    <a:stretch>
                      <a:fillRect/>
                    </a:stretch>
                  </pic:blipFill>
                  <pic:spPr>
                    <a:xfrm>
                      <a:off x="0" y="0"/>
                      <a:ext cx="6217920" cy="4239491"/>
                    </a:xfrm>
                    <a:prstGeom prst="rect"/>
                  </pic:spPr>
                </pic:pic>
              </a:graphicData>
            </a:graphic>
          </wp:inline>
        </w:drawing>
      </w:r>
    </w:p>
    <w:p>
      <w:pPr>
        <w:jc w:val="center"/>
      </w:pPr>
      <w:r>
        <w:rPr>
          <w:i/>
          <w:sz w:val="18"/>
        </w:rPr>
        <w:t>Figure 7.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8" name="Picture 8"/>
            <wp:cNvGraphicFramePr>
              <a:graphicFrameLocks noChangeAspect="1"/>
            </wp:cNvGraphicFramePr>
            <a:graphic>
              <a:graphicData uri="http://schemas.openxmlformats.org/drawingml/2006/picture">
                <pic:pic>
                  <pic:nvPicPr>
                    <pic:cNvPr id="0" name="arrhythmia_review_fragility.png"/>
                    <pic:cNvPicPr/>
                  </pic:nvPicPr>
                  <pic:blipFill>
                    <a:blip r:embed="rId16"/>
                    <a:stretch>
                      <a:fillRect/>
                    </a:stretch>
                  </pic:blipFill>
                  <pic:spPr>
                    <a:xfrm>
                      <a:off x="0" y="0"/>
                      <a:ext cx="6217920" cy="3497580"/>
                    </a:xfrm>
                    <a:prstGeom prst="rect"/>
                  </pic:spPr>
                </pic:pic>
              </a:graphicData>
            </a:graphic>
          </wp:inline>
        </w:drawing>
      </w:r>
    </w:p>
    <w:p>
      <w:pPr>
        <w:jc w:val="center"/>
      </w:pPr>
      <w:r>
        <w:rPr>
          <w:i/>
          <w:sz w:val="18"/>
        </w:rPr>
        <w:t>Figure 8.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9" name="Picture 9"/>
            <wp:cNvGraphicFramePr>
              <a:graphicFrameLocks noChangeAspect="1"/>
            </wp:cNvGraphicFramePr>
            <a:graphic>
              <a:graphicData uri="http://schemas.openxmlformats.org/drawingml/2006/picture">
                <pic:pic>
                  <pic:nvPicPr>
                    <pic:cNvPr id="0" name="vital_gray_zone_workflow.png"/>
                    <pic:cNvPicPr/>
                  </pic:nvPicPr>
                  <pic:blipFill>
                    <a:blip r:embed="rId17"/>
                    <a:stretch>
                      <a:fillRect/>
                    </a:stretch>
                  </pic:blipFill>
                  <pic:spPr>
                    <a:xfrm>
                      <a:off x="0" y="0"/>
                      <a:ext cx="6217920" cy="3826190"/>
                    </a:xfrm>
                    <a:prstGeom prst="rect"/>
                  </pic:spPr>
                </pic:pic>
              </a:graphicData>
            </a:graphic>
          </wp:inline>
        </w:drawing>
      </w:r>
    </w:p>
    <w:p>
      <w:pPr>
        <w:jc w:val="center"/>
      </w:pPr>
      <w:r>
        <w:rPr>
          <w:i/>
          <w:sz w:val="18"/>
        </w:rPr>
        <w:t>Figure 9.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0" name="Picture 10"/>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8"/>
                    <a:stretch>
                      <a:fillRect/>
                    </a:stretch>
                  </pic:blipFill>
                  <pic:spPr>
                    <a:xfrm>
                      <a:off x="0" y="0"/>
                      <a:ext cx="6217920" cy="7461504"/>
                    </a:xfrm>
                    <a:prstGeom prst="rect"/>
                  </pic:spPr>
                </pic:pic>
              </a:graphicData>
            </a:graphic>
          </wp:inline>
        </w:drawing>
      </w:r>
    </w:p>
    <w:p>
      <w:pPr>
        <w:jc w:val="center"/>
      </w:pPr>
      <w:r>
        <w:rPr>
          <w:i/>
          <w:sz w:val="18"/>
        </w:rPr>
        <w:t>Figure 10.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Multi-domain historical validation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11" name="Picture 11"/>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9"/>
                    <a:stretch>
                      <a:fillRect/>
                    </a:stretch>
                  </pic:blipFill>
                  <pic:spPr>
                    <a:xfrm>
                      <a:off x="0" y="0"/>
                      <a:ext cx="6217920" cy="3674225"/>
                    </a:xfrm>
                    <a:prstGeom prst="rect"/>
                  </pic:spPr>
                </pic:pic>
              </a:graphicData>
            </a:graphic>
          </wp:inline>
        </w:drawing>
      </w:r>
    </w:p>
    <w:p>
      <w:pPr>
        <w:jc w:val="center"/>
      </w:pPr>
      <w:r>
        <w:rPr>
          <w:i/>
          <w:sz w:val="18"/>
        </w:rPr>
        <w:t>Figure 11.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12" name="Picture 12"/>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20"/>
                    <a:stretch>
                      <a:fillRect/>
                    </a:stretch>
                  </pic:blipFill>
                  <pic:spPr>
                    <a:xfrm>
                      <a:off x="0" y="0"/>
                      <a:ext cx="6217920" cy="7461504"/>
                    </a:xfrm>
                    <a:prstGeom prst="rect"/>
                  </pic:spPr>
                </pic:pic>
              </a:graphicData>
            </a:graphic>
          </wp:inline>
        </w:drawing>
      </w:r>
    </w:p>
    <w:p>
      <w:pPr>
        <w:jc w:val="center"/>
      </w:pPr>
      <w:r>
        <w:rPr>
          <w:i/>
          <w:sz w:val="18"/>
        </w:rPr>
        <w:t>Figure 12. Independent 3,000-variant 2023-to-current historical validation curves.</w:t>
      </w:r>
    </w:p>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3" name="Picture 13"/>
            <wp:cNvGraphicFramePr>
              <a:graphicFrameLocks noChangeAspect="1"/>
            </wp:cNvGraphicFramePr>
            <a:graphic>
              <a:graphicData uri="http://schemas.openxmlformats.org/drawingml/2006/picture">
                <pic:pic>
                  <pic:nvPicPr>
                    <pic:cNvPr id="0" name="vital_external_panel_score_distribution.png"/>
                    <pic:cNvPicPr/>
                  </pic:nvPicPr>
                  <pic:blipFill>
                    <a:blip r:embed="rId21"/>
                    <a:stretch>
                      <a:fillRect/>
                    </a:stretch>
                  </pic:blipFill>
                  <pic:spPr>
                    <a:xfrm>
                      <a:off x="0" y="0"/>
                      <a:ext cx="6217920" cy="3165487"/>
                    </a:xfrm>
                    <a:prstGeom prst="rect"/>
                  </pic:spPr>
                </pic:pic>
              </a:graphicData>
            </a:graphic>
          </wp:inline>
        </w:drawing>
      </w:r>
    </w:p>
    <w:p>
      <w:pPr>
        <w:jc w:val="center"/>
      </w:pPr>
      <w:r>
        <w:rPr>
          <w:i/>
          <w:sz w:val="18"/>
        </w:rPr>
        <w:t>Figure 13.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the red-priority queue contained 0/500. In hearing-loss genes, naive AF produced 76/300 flags (25.3%) and the red-priority queue again contained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red-priority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4" name="Picture 14"/>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2"/>
                    <a:stretch>
                      <a:fillRect/>
                    </a:stretch>
                  </pic:blipFill>
                  <pic:spPr>
                    <a:xfrm>
                      <a:off x="0" y="0"/>
                      <a:ext cx="6217920" cy="4304714"/>
                    </a:xfrm>
                    <a:prstGeom prst="rect"/>
                  </pic:spPr>
                </pic:pic>
              </a:graphicData>
            </a:graphic>
          </wp:inline>
        </w:drawing>
      </w:r>
    </w:p>
    <w:p>
      <w:pPr>
        <w:jc w:val="center"/>
      </w:pPr>
      <w:r>
        <w:rPr>
          <w:i/>
          <w:sz w:val="18"/>
        </w:rPr>
        <w:t>Figure 14. KCNH2 non-overlap diagnostic analysis.</w:t>
      </w:r>
    </w:p>
    <w:p/>
    <w:p>
      <w:pPr>
        <w:jc w:val="center"/>
      </w:pPr>
      <w:r>
        <w:drawing>
          <wp:inline xmlns:a="http://schemas.openxmlformats.org/drawingml/2006/main" xmlns:pic="http://schemas.openxmlformats.org/drawingml/2006/picture">
            <wp:extent cx="6217920" cy="3497580"/>
            <wp:docPr id="15" name="Picture 15"/>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3"/>
                    <a:stretch>
                      <a:fillRect/>
                    </a:stretch>
                  </pic:blipFill>
                  <pic:spPr>
                    <a:xfrm>
                      <a:off x="0" y="0"/>
                      <a:ext cx="6217920" cy="3497580"/>
                    </a:xfrm>
                    <a:prstGeom prst="rect"/>
                  </pic:spPr>
                </pic:pic>
              </a:graphicData>
            </a:graphic>
          </wp:inline>
        </w:drawing>
      </w:r>
    </w:p>
    <w:p>
      <w:pPr>
        <w:jc w:val="center"/>
      </w:pPr>
      <w:r>
        <w:rPr>
          <w:i/>
          <w:sz w:val="18"/>
        </w:rPr>
        <w:t>Figure 15.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finding is that frequency tension is common but hidden. Global AF detected only 13 arrhythmia variants above 1e-5, whereas popmax/global screening detected 115, and nearly one-third of variants with complete popmax data were globally rare but population-enriched.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w:t>
      </w:r>
    </w:p>
    <w:p>
      <w:r>
        <w:t>Historical and external analyses support the same operating profile. Red-priority is high-specificity and low-recall. It is poor as a broad predictor of future strict downgrades, but useful as a narrow audit layer that reduces false-positive review burden. Weight and AC sensitivity further show that the red-priority queue is small and largely stable, while KCNH2 remains threshold-adjacent and should be communicated as such.</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score is expert-specified rather than learned. Weight-profile and one-weight-at-a-time sensitivity showed no gained red-priority variants, but KCNH2 was unstable in 3/5 alternative profiles, so future disease-specific deployments should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analyses are underpowered for prediction.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LOF subtype annotation was derived from ClinVar/HGVS strings and does not replace transcript-aware consequence annotation, NMD prediction, exon/domain context, or curated functional assays.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Planned, not yet provided; current reproducibility relies on data freeze, cache metadata, and requirements file</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red-priority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red-priority calls. Historical cross-disease validation remains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Docker/containerized environment is planned as the next reproducibility layer so that package versions and system dependencies can be fixed in addition to the data freeze.</w:t>
      </w:r>
    </w:p>
    <w:p>
      <w:r>
        <w:t>Key output groups include per-variant VITAL scores and component explanations, method-comparison tables, threshold and AC sensitivity sweeps, weight-sensitivity tables, historical validation outputs, external-panel stress tests, 3,000-variant cross-disease validation outputs, and generated figures. The most central files are arrhythmia_vital_scores.csv, arrhythmia_vital_component_breakdown.csv, arrhythmia_vital_method_comparison.csv, arrhythmia_vital_pathogenicity_tension_continuum.csv, arrhythmia_vital_one_weight_sensitivity.csv, vital_red_manual_review_live_check.csv, vital_cross_disease_3000_cross_disease_validation_summary.csv, and vital_cross_disease_3000_2023_01_to_current_vital_historical_enrichment.csv.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It is generated by src/run_vital_biological_contrast.py from gnomAD v4.1 constraint metrics and Human Protein Atlas v23 tissue-consensus expression downloads;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