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We also added a clinical decision projection: for each red-priority case, we compared the decision pathway implied by reading the public P/LP label as high-penetrance Mendelian disease against the pathway implied by a state-aware susceptibility, carrier, or mechanism-review frame.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Clinical decision projection shows one label can imply incompatible pathways</w:t>
      </w:r>
    </w:p>
    <w:p>
      <w:r>
        <w:t>The practical consequence of label-state collapse is that one public P/LP label can support two incompatible clinical pathways depending on how it is read. We therefore projected, without assuming any real patient-level downstream event, what follows if each red-priority label is read as unqualified high-penetrance Mendelian disease versus as the mechanism-aware state required by the frequency and evidence context.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Case</w:t>
            </w:r>
          </w:p>
        </w:tc>
        <w:tc>
          <w:tcPr>
            <w:tcW w:type="dxa" w:w="2592"/>
            <w:vAlign w:val="top"/>
            <w:shd w:fill="D9EAF7"/>
          </w:tcPr>
          <w:p>
            <w:pPr>
              <w:jc w:val="left"/>
            </w:pPr>
            <w:r/>
            <w:r>
              <w:rPr>
                <w:b/>
                <w:sz w:val="16"/>
              </w:rPr>
              <w:t>If read as generic Mendelian P/LP</w:t>
            </w:r>
          </w:p>
        </w:tc>
        <w:tc>
          <w:tcPr>
            <w:tcW w:type="dxa" w:w="2592"/>
            <w:vAlign w:val="top"/>
            <w:shd w:fill="D9EAF7"/>
          </w:tcPr>
          <w:p>
            <w:pPr>
              <w:jc w:val="left"/>
            </w:pPr>
            <w:r/>
            <w:r>
              <w:rPr>
                <w:b/>
                <w:sz w:val="16"/>
              </w:rPr>
              <w:t>If read as state-aware assertion</w:t>
            </w:r>
          </w:p>
        </w:tc>
        <w:tc>
          <w:tcPr>
            <w:tcW w:type="dxa" w:w="2592"/>
            <w:vAlign w:val="top"/>
            <w:shd w:fill="D9EAF7"/>
          </w:tcPr>
          <w:p>
            <w:pPr>
              <w:jc w:val="left"/>
            </w:pPr>
            <w:r/>
            <w:r>
              <w:rPr>
                <w:b/>
                <w:sz w:val="16"/>
              </w:rPr>
              <w:t>Guideline-facing tension</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Can support Brugada diagnostic closure, broad cascade testing, arrhythmia surveillance, drug-avoidance counseling, and phenotype-triggered ICD/risk-stratification discussions</w:t>
            </w:r>
          </w:p>
        </w:tc>
        <w:tc>
          <w:tcPr>
            <w:tcW w:type="dxa" w:w="2592"/>
            <w:vAlign w:val="top"/>
          </w:tcPr>
          <w:p>
            <w:pPr>
              <w:jc w:val="left"/>
            </w:pPr>
            <w:r/>
            <w:r>
              <w:rPr>
                <w:b w:val="0"/>
                <w:sz w:val="16"/>
              </w:rPr>
              <w:t>Does not establish monogenic Brugada diagnosis by itself; cascade testing should be limited or qualified as susceptibility/haplotype tracking, and management should remain phenotype/context driven</w:t>
            </w:r>
          </w:p>
        </w:tc>
        <w:tc>
          <w:tcPr>
            <w:tcW w:type="dxa" w:w="2592"/>
            <w:vAlign w:val="top"/>
          </w:tcPr>
          <w:p>
            <w:pPr>
              <w:jc w:val="left"/>
            </w:pPr>
            <w:r/>
            <w:r>
              <w:rPr>
                <w:b w:val="0"/>
                <w:sz w:val="16"/>
              </w:rPr>
              <w:t>ClinVar terminology allows low-penetrance and risk-allele states, but the public record remains generic Pathogenic with no assertion criteria</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Can be misread as CPVT5 disease causality and dominant-risk family counseling if phase and second-allele status are ignored</w:t>
            </w:r>
          </w:p>
        </w:tc>
        <w:tc>
          <w:tcPr>
            <w:tcW w:type="dxa" w:w="2592"/>
            <w:vAlign w:val="top"/>
          </w:tcPr>
          <w:p>
            <w:pPr>
              <w:jc w:val="left"/>
            </w:pPr>
            <w:r/>
            <w:r>
              <w:rPr>
                <w:b w:val="0"/>
                <w:sz w:val="16"/>
              </w:rPr>
              <w:t>Should be routed as carrier-compatible or biallelic affected-state evidence; family testing should prioritize phase and second-allele clarification</w:t>
            </w:r>
          </w:p>
        </w:tc>
        <w:tc>
          <w:tcPr>
            <w:tcW w:type="dxa" w:w="2592"/>
            <w:vAlign w:val="top"/>
          </w:tcPr>
          <w:p>
            <w:pPr>
              <w:jc w:val="left"/>
            </w:pPr>
            <w:r/>
            <w:r>
              <w:rPr>
                <w:b w:val="0"/>
                <w:sz w:val="16"/>
              </w:rPr>
              <w:t>Generic P/LP does not encode carrier versus affected-state use</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Can support Long QT diagnostic closure, familial testing, QT surveillance, and medication-avoidance decisions if accepted as unqualified LP</w:t>
            </w:r>
          </w:p>
        </w:tc>
        <w:tc>
          <w:tcPr>
            <w:tcW w:type="dxa" w:w="2592"/>
            <w:vAlign w:val="top"/>
          </w:tcPr>
          <w:p>
            <w:pPr>
              <w:jc w:val="left"/>
            </w:pPr>
            <w:r/>
            <w:r>
              <w:rPr>
                <w:b w:val="0"/>
                <w:sz w:val="16"/>
              </w:rPr>
              <w:t>Requires splice/same-site/segregation adjudication; cascade and management decisions should remain provisional and phenotype-linked</w:t>
            </w:r>
          </w:p>
        </w:tc>
        <w:tc>
          <w:tcPr>
            <w:tcW w:type="dxa" w:w="2592"/>
            <w:vAlign w:val="top"/>
          </w:tcPr>
          <w:p>
            <w:pPr>
              <w:jc w:val="left"/>
            </w:pPr>
            <w:r/>
            <w:r>
              <w:rPr>
                <w:b w:val="0"/>
                <w:sz w:val="16"/>
              </w:rPr>
              <w:t>Single-submitter LP plus AC-supported frequency tension creates an expert-review need, but the public label does not expose splice certainty or penetrance state</w:t>
            </w:r>
          </w:p>
        </w:tc>
      </w:tr>
    </w:tbl>
    <w:p/>
    <w:p>
      <w:r>
        <w:t>This is a decision projection, not a claim that misdiagnosis or cascade testing occurred. Its point is narrower: a generic P/LP label can travel into diagnostic and family-management workflows while failing to preserve the biological state needed to choose the correct pathway. No red-priority case is asserted here to conflict with a ClinGen expert-panel classification; the tension is semantic and operational. ClinVar/ClinGen terminology already recognizes risk-allele and low-penetrance categories, and ClinVar review status distinguishes single-submitter/no-criteria records from expert-panel or practice-guideline assertions. The problem is that the exported public label can still be read as a single undifferentiated Mendelian P/LP assertion.</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guideline-facing tension is therefore not that VITAL overrules ACMG/AMP, ClinGen, or ClinVar. It is that public label transmission can discard distinctions those frameworks already require reviewers to consider: disease mechanism, penetrance, evidence strength, assertion review level, and whether an assertion is better represented as a low-penetrance or risk-allele state. In the 3 red-priority cases, no ClinGen expert-panel or practice-guideline review was present in the public record. The claim is not expert-panel disagreement; it is that single-submitter or no-criteria P/LP labels can enter clinical workflow without preserving the state qualifiers needed for safe use.</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Run a clinical decision projection for red-priority variants before acting: ask what would follow if the label were treated as Mendelian disease, and what would follow if it were susceptibility, carrier-state, or mechanism-unresolved evidence.</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clinical decision-projection outputs, guideline-tension audits,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