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Frequency Tension Is Common but Hidden in ClinVar Pathogenic Arrhythmia Variants: VITAL Prioritizes Re-Review</w:t>
      </w:r>
    </w:p>
    <w:p>
      <w:pPr>
        <w:pStyle w:val="Heading1"/>
      </w:pPr>
      <w:r>
        <w:t>Abstract</w:t>
      </w:r>
    </w:p>
    <w:p>
      <w:r>
        <w:rPr>
          <w:b/>
        </w:rPr>
        <w:t>Purpose:</w:t>
      </w:r>
      <w:r>
        <w:t xml:space="preserve"> Frequency tension in ClinVar pathogenic/likely pathogenic (P/LP) assertions is often hidden by global-AF-only workflows, weak treatment of no-frequency-evidence states, and unprioritized review queues. We evaluated this problem in inherited arrhythmia genes and developed VITAL (Variant Interpretation Tension and Allele Load), an explainable clinical reclassification risk prioritization framework.</w:t>
      </w:r>
    </w:p>
    <w:p>
      <w:r>
        <w:rPr>
          <w:b/>
        </w:rPr>
        <w:t>Methods:</w:t>
      </w:r>
      <w:r>
        <w:t xml:space="preserve"> We collapsed ClinVar P/LP records across 20 arrhythmia genes to 1,731 unique variants and cross-referenced them with gnomAD v4.1.1 exome and ancestry-specific data. Exact allele matches, allele discordance, no-record variants, global AF, popmax AF, AC, variant type, technical detectability, gene context, and review fragility were modeled explicitly. VITAL was evaluated as a human-review workflow, not an automated classifier. Red cases were further examined with real gnomAD v4.1 LOEUF values, Human Protein Atlas v23 heart-muscle expression, and mechanism-specific case interpretation.</w:t>
      </w:r>
    </w:p>
    <w:p>
      <w:r>
        <w:rPr>
          <w:b/>
        </w:rPr>
        <w:t>Results:</w:t>
      </w:r>
      <w:r>
        <w:t xml:space="preserve"> Only 350/1,731 variants (20.2%) had exact gnomAD allele matches; 334 had usable AF data. Global AF alone detected 13 variants above 1e-5, whereas popmax/global screening detected 115, including 102 globally rare but population-enriched variants. Indels were enriched in the non-overlap set (47.2% vs 28.9%; OR=2.20; BH q=1.08e-9), showing that absence from gnomAD is not equivalent to rarity for structurally complex variants. A naive popmax/global AF &gt;1e-5 screen flagged 115 variants; AC-supported screening flagged 9; VITAL red prioritized 3, a 97.4% reduction in actionable calls. These three cases were biologically distinct rather than generic AF outliers: SCN5A as a high-frequency haplotype/drug-response susceptibility assertion, TRDN as a high-expression but LOEUF-tolerant recessive-carrier signal, and KCNH2 as a borderline splice assertion in a constrained dominant LQTS gene. In an independent 3,000-variant cross-disease validation set, naive AF screening flagged 332 variants (11.1%; 95% CI 10.0%-12.2%), whereas VITAL red flagged 3 (0.10%; 95% CI 0.034%-0.294%). Historical validation remained high-specificity but low-recall: VITAL red captured only 1/23 strict future downgrades, confirming that it is not a broad prediction model.</w:t>
      </w:r>
    </w:p>
    <w:p>
      <w:r>
        <w:rPr>
          <w:b/>
        </w:rPr>
        <w:t>Conclusion:</w:t>
      </w:r>
      <w:r>
        <w:t xml:space="preserve"> Frequency tension is common, but actionable review should be rare. VITAL turns hidden population-frequency contradictions into a short, explainable review queue while preserving gray no-frequency-evidence states and leaving final classification to expert clinical interpretation.</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The default red threshold of 70 is an operational review-capacity gate, not a pathogenicity cutoff: it creates a short, auditable review queue for expert reassessment, not an autonomous clinical decision boundary. An optional threshold of 80 can be interpreted as an ultra-high-priority subqueue.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discordance space spanning population frequency, AC reliability, ancestry enrichment, review fragility, gene context, variant representation, and predicted functional severity. In the scoring model, functional context is represented by HGVS-derived class and an internal gene-frequency constraint proxy; external LOEUF, heart-expression, and mechanism annotations are added later as the biological contrast layer for red cases, not as hidden scoring features.</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w:t>
      </w:r>
    </w:p>
    <w:p>
      <w:r>
        <w:t>For practical deployment, VITAL output should therefore be paired with an inheritance-aware routing label rather than interpreted as an inheritance-blind action trigger. A minimal routing scheme would send dominant/high-penetrance red or orange calls to frequency-inconsistent assertion review; recessive or biallelic-gene calls to carrier-frequency, zygosity, and affected-state review; founder, low-penetrance, hypomorphic, or pharmacogenomic calls to context-specific assertion review; and unknown-mechanism calls to a disease-mechanism clarification queue before any classification change is considered. These routing labels are not currently computed automatically and should be supplied from disease-gene curation, ClinGen specifications where available, or laboratory policy. This is a deliberate boundary of the current tool: VITAL marks where population evidence and clinical assertion are in tension, while inheritance-aware interpretation remains an expert review step.</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separates signal detection from operational decision thresholds. Sensitivity analyses repeated current and historical scoring with AC gates of &gt;=5, &gt;=10, &gt;=20, and &gt;=50; five alternative weight profiles; score cutoffs from 40 to 95; and release-to-release red-set composition checks between the January 2023 and April 2026 freezes. These analyses recorded red-set size, retained/gained/lost variants, proxy false-positive burden, and threshold stability without outcome refitting.</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audit future ClinVar instability without presenting VITAL as a prediction model,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and specificity audit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We reported threshold sweeps, precision/recall, and event enrichment among VITAL-red variants, but interpreted historical results qualitatively because the red set is intentionally small. One-event perturbation, exploratory threshold calibration, deduplication logs, and stratified bootstrap were retained as audit checks rather than as formal predictive validation. Multi-domain results were reported within domain and after pooled deduplication to avoid hiding heterogeneity across arrhythmia, cardiomyopathy, epilepsy, hearing loss, and random ClinVar records.</w:t>
      </w:r>
    </w:p>
    <w:p>
      <w:pPr>
        <w:pStyle w:val="Heading2"/>
      </w:pPr>
      <w:r>
        <w:t>External-domain stress tests and descriptive comparator</w:t>
      </w:r>
    </w:p>
    <w:p>
      <w:r>
        <w:t>To evaluate portability, we ran small external stress tests on cardiomyopathy, epilepsy, hearing-loss, and random ClinVar P/LP samples, plus a BRCA/MMR/APC descriptive comparator. These were false-positive-burden stress tests, not sensitivity analyses, because independent truth labels were unavailable. We also ran an independent 3,000-variant cross-disease validation outside arrhythmia and previous external-panel genes: 2,000 variants from the top 100 genes by ClinVar P/LP count and 1,000 from the remaining eligible pool. The same sampling design was repeated for the January 2023 snapshot and compared with the April 21, 2026 freeze.</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Biological contrast analysis for VITAL-red cases</w:t>
      </w:r>
    </w:p>
    <w:p>
      <w:r>
        <w:t>To avoid treating the biological context as decorative metadata, we constructed a focused contrast table for the VITAL-red queue. The goal was not to add a new black-box score, but to ask what each frequency-positive assertion is biologically claiming. We joined red variants to gnomAD v4.1 constraint metrics, using the MANE/canonical transcript LOEUF (lof.oe_ci.upper) as the real external loss-of-function constraint metric rather than the internal VITAL gene-frequency proxy. We also joined Human Protein Atlas v23 tissue consensus RNA expression for heart muscle (nTPM) as a gene-level cardiac expression context. These external annotations were not used to compute VITAL scores or red labels; they were used only to interpret the biological meaning of already-prioritized cases. Domain/transcript context was summarized as a case-level caveat rather than as fully automated protein-domain mapping, because the red variants include a composite haplotype (SCN5A), a frameshift in a recessive/biallelic disease model (TRDN), and a splice-site variant where allele-specific/same-site ambiguity matters (KCNH2).</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r>
        <w:t>The central message is therefore simple: frequency tension is not rare; it is systematically hidden by global-AF-only workflows and by the tendency to treat missing frequency evidence as absence. VITAL does not make this tension disappear. It makes it small enough to inspect.</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VITAL-red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Biological contrast turns red calls into case studies</w:t>
      </w:r>
    </w:p>
    <w:p>
      <w:r>
        <w:t>The red variants should be read as compact biological investigations, not as a supplemental outlier list. We therefore placed each case in a contrast frame: VITAL score, AF signal, real LOEUF, heart expression, expected disease mechanism, and the most plausible interpretation of the conflict. This makes the key distinction visible: VITAL does not say that all high-frequency P/LP assertions are benign. It asks whether the public assertion is biologically coherent under the mechanism it appears to claim.</w:t>
      </w:r>
    </w:p>
    <w:p>
      <w:pPr>
        <w:jc w:val="center"/>
      </w:pPr>
      <w:r>
        <w:drawing>
          <wp:inline xmlns:a="http://schemas.openxmlformats.org/drawingml/2006/main" xmlns:pic="http://schemas.openxmlformats.org/drawingml/2006/picture">
            <wp:extent cx="6217920" cy="4239491"/>
            <wp:docPr id="4" name="Picture 4"/>
            <wp:cNvGraphicFramePr>
              <a:graphicFrameLocks noChangeAspect="1"/>
            </wp:cNvGraphicFramePr>
            <a:graphic>
              <a:graphicData uri="http://schemas.openxmlformats.org/drawingml/2006/picture">
                <pic:pic>
                  <pic:nvPicPr>
                    <pic:cNvPr id="0" name="vital_biological_contrast_cases.png"/>
                    <pic:cNvPicPr/>
                  </pic:nvPicPr>
                  <pic:blipFill>
                    <a:blip r:embed="rId12"/>
                    <a:stretch>
                      <a:fillRect/>
                    </a:stretch>
                  </pic:blipFill>
                  <pic:spPr>
                    <a:xfrm>
                      <a:off x="0" y="0"/>
                      <a:ext cx="6217920" cy="4239491"/>
                    </a:xfrm>
                    <a:prstGeom prst="rect"/>
                  </pic:spPr>
                </pic:pic>
              </a:graphicData>
            </a:graphic>
          </wp:inline>
        </w:drawing>
      </w:r>
    </w:p>
    <w:p>
      <w:pPr>
        <w:jc w:val="center"/>
      </w:pPr>
      <w:r>
        <w:rPr>
          <w:i/>
          <w:sz w:val="18"/>
        </w:rPr>
        <w:t>Figure 4. VITAL red biological contrast case studies.</w:t>
      </w:r>
    </w:p>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AF signal</w:t>
            </w:r>
          </w:p>
        </w:tc>
        <w:tc>
          <w:tcPr>
            <w:tcW w:type="dxa" w:w="2074"/>
            <w:vAlign w:val="top"/>
            <w:shd w:fill="D9EAF7"/>
          </w:tcPr>
          <w:p>
            <w:pPr>
              <w:jc w:val="left"/>
            </w:pPr>
            <w:r/>
            <w:r>
              <w:rPr>
                <w:b/>
                <w:sz w:val="16"/>
              </w:rPr>
              <w:t>Biological expectation</w:t>
            </w:r>
          </w:p>
        </w:tc>
        <w:tc>
          <w:tcPr>
            <w:tcW w:type="dxa" w:w="2074"/>
            <w:vAlign w:val="top"/>
            <w:shd w:fill="D9EAF7"/>
          </w:tcPr>
          <w:p>
            <w:pPr>
              <w:jc w:val="left"/>
            </w:pPr>
            <w:r/>
            <w:r>
              <w:rPr>
                <w:b/>
                <w:sz w:val="16"/>
              </w:rPr>
              <w:t>Reality / interpretation</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96.1</w:t>
            </w:r>
          </w:p>
        </w:tc>
        <w:tc>
          <w:tcPr>
            <w:tcW w:type="dxa" w:w="2074"/>
            <w:vAlign w:val="top"/>
          </w:tcPr>
          <w:p>
            <w:pPr>
              <w:jc w:val="left"/>
            </w:pPr>
            <w:r/>
            <w:r>
              <w:rPr>
                <w:b w:val="0"/>
                <w:sz w:val="16"/>
              </w:rPr>
              <w:t>global AF=1.46e-4, AC=214; AFR popmax AF=5.68e-3, AC=190</w:t>
            </w:r>
          </w:p>
        </w:tc>
        <w:tc>
          <w:tcPr>
            <w:tcW w:type="dxa" w:w="2074"/>
            <w:vAlign w:val="top"/>
          </w:tcPr>
          <w:p>
            <w:pPr>
              <w:jc w:val="left"/>
            </w:pPr>
            <w:r/>
            <w:r>
              <w:rPr>
                <w:b w:val="0"/>
                <w:sz w:val="16"/>
              </w:rPr>
              <w:t>LOEUF=0.372; heart nTPM=41.3; dominant Brugada/channelopathy label but composite haplotype and drug-triggered susceptibility context</w:t>
            </w:r>
          </w:p>
        </w:tc>
        <w:tc>
          <w:tcPr>
            <w:tcW w:type="dxa" w:w="2074"/>
            <w:vAlign w:val="top"/>
          </w:tcPr>
          <w:p>
            <w:pPr>
              <w:jc w:val="left"/>
            </w:pPr>
            <w:r/>
            <w:r>
              <w:rPr>
                <w:b w:val="0"/>
                <w:sz w:val="16"/>
              </w:rPr>
              <w:t>Frequency incompatible with a straightforward high-penetrance dominant Mendelian label; more consistent with context-dependent susceptibility or pharmacogenomic/modifier behavior pending expert review.</w:t>
            </w:r>
          </w:p>
        </w:tc>
      </w:tr>
      <w:tr>
        <w:tc>
          <w:tcPr>
            <w:tcW w:type="dxa" w:w="2074"/>
            <w:vAlign w:val="top"/>
          </w:tcPr>
          <w:p>
            <w:pPr>
              <w:jc w:val="left"/>
            </w:pPr>
            <w:r/>
            <w:r>
              <w:rPr>
                <w:b w:val="0"/>
                <w:sz w:val="16"/>
              </w:rPr>
              <w:t>TRDN VCV001325231 c.1050del (p.Glu351fs)</w:t>
            </w:r>
          </w:p>
        </w:tc>
        <w:tc>
          <w:tcPr>
            <w:tcW w:type="dxa" w:w="2074"/>
            <w:vAlign w:val="top"/>
          </w:tcPr>
          <w:p>
            <w:pPr>
              <w:jc w:val="left"/>
            </w:pPr>
            <w:r/>
            <w:r>
              <w:rPr>
                <w:b w:val="0"/>
                <w:sz w:val="16"/>
              </w:rPr>
              <w:t>74.3</w:t>
            </w:r>
          </w:p>
        </w:tc>
        <w:tc>
          <w:tcPr>
            <w:tcW w:type="dxa" w:w="2074"/>
            <w:vAlign w:val="top"/>
          </w:tcPr>
          <w:p>
            <w:pPr>
              <w:jc w:val="left"/>
            </w:pPr>
            <w:r/>
            <w:r>
              <w:rPr>
                <w:b w:val="0"/>
                <w:sz w:val="16"/>
              </w:rPr>
              <w:t>global AF=2.77e-5, AC=40; AMR popmax AF=2.18e-4, AC=9</w:t>
            </w:r>
          </w:p>
        </w:tc>
        <w:tc>
          <w:tcPr>
            <w:tcW w:type="dxa" w:w="2074"/>
            <w:vAlign w:val="top"/>
          </w:tcPr>
          <w:p>
            <w:pPr>
              <w:jc w:val="left"/>
            </w:pPr>
            <w:r/>
            <w:r>
              <w:rPr>
                <w:b w:val="0"/>
                <w:sz w:val="16"/>
              </w:rPr>
              <w:t>LOEUF=1.359; heart nTPM=406.7; recessive/biallelic triadin-null model where heterozygous carrier frequency can be tolerated</w:t>
            </w:r>
          </w:p>
        </w:tc>
        <w:tc>
          <w:tcPr>
            <w:tcW w:type="dxa" w:w="2074"/>
            <w:vAlign w:val="top"/>
          </w:tcPr>
          <w:p>
            <w:pPr>
              <w:jc w:val="left"/>
            </w:pPr>
            <w:r/>
            <w:r>
              <w:rPr>
                <w:b w:val="0"/>
                <w:sz w:val="16"/>
              </w:rPr>
              <w:t>Consistent with recessive carrier frequency rather than automatic benignity; VITAL flags assertion tension, not loss of affected-state pathogenicity.</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70.3</w:t>
            </w:r>
          </w:p>
        </w:tc>
        <w:tc>
          <w:tcPr>
            <w:tcW w:type="dxa" w:w="2074"/>
            <w:vAlign w:val="top"/>
          </w:tcPr>
          <w:p>
            <w:pPr>
              <w:jc w:val="left"/>
            </w:pPr>
            <w:r/>
            <w:r>
              <w:rPr>
                <w:b w:val="0"/>
                <w:sz w:val="16"/>
              </w:rPr>
              <w:t>global AF=4.37e-5, AC=24; ASJ popmax AF=1.32e-4, AC=2</w:t>
            </w:r>
          </w:p>
        </w:tc>
        <w:tc>
          <w:tcPr>
            <w:tcW w:type="dxa" w:w="2074"/>
            <w:vAlign w:val="top"/>
          </w:tcPr>
          <w:p>
            <w:pPr>
              <w:jc w:val="left"/>
            </w:pPr>
            <w:r/>
            <w:r>
              <w:rPr>
                <w:b w:val="0"/>
                <w:sz w:val="16"/>
              </w:rPr>
              <w:t>LOEUF=0.568; heart nTPM=28.7; dominant splice-disruption/LQTS model would predict strong rarity</w:t>
            </w:r>
          </w:p>
        </w:tc>
        <w:tc>
          <w:tcPr>
            <w:tcW w:type="dxa" w:w="2074"/>
            <w:vAlign w:val="top"/>
          </w:tcPr>
          <w:p>
            <w:pPr>
              <w:jc w:val="left"/>
            </w:pPr>
            <w:r/>
            <w:r>
              <w:rPr>
                <w:b w:val="0"/>
                <w:sz w:val="16"/>
              </w:rPr>
              <w:t>Biologically uncomfortable but unresolved: borderline weight sensitivity, sparse allele-specific evidence, possible same-site ambiguity, reduced penetrance, founder enrichment, or overcalling.</w:t>
            </w:r>
          </w:p>
        </w:tc>
      </w:tr>
    </w:tbl>
    <w:p/>
    <w:p>
      <w:r>
        <w:t>This contrast is the biological layer of VITAL. LOEUF is not shown as a decorative number: it changes the logic of interpretation. In SCN5A and KCNH2, moderate LOF constraint makes high-frequency dominant Mendelian claims harder to sustain without strong phenotype or functional evidence. In TRDN, the absence of LOF constraint and the recessive/biallelic disease model make the same kind of AF signal less contradictory. Expression is used similarly: high or moderate heart expression supports clinical relevance of the gene, but it does not rescue a frequency-incompatible assertion without the correct disease mechanism.</w:t>
      </w:r>
    </w:p>
    <w:p>
      <w:pPr>
        <w:pStyle w:val="Heading2"/>
      </w:pPr>
      <w:r>
        <w:t>Live manual-review snapshot of VITAL-red variants</w:t>
      </w:r>
    </w:p>
    <w:p>
      <w:r>
        <w:t>To close the loop between scoring and clinical review, we manually rechecked the three VITAL-red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5" name="Picture 5"/>
            <wp:cNvGraphicFramePr>
              <a:graphicFrameLocks noChangeAspect="1"/>
            </wp:cNvGraphicFramePr>
            <a:graphic>
              <a:graphicData uri="http://schemas.openxmlformats.org/drawingml/2006/picture">
                <pic:pic>
                  <pic:nvPicPr>
                    <pic:cNvPr id="0" name="arrhythmia_review_fragility.png"/>
                    <pic:cNvPicPr/>
                  </pic:nvPicPr>
                  <pic:blipFill>
                    <a:blip r:embed="rId13"/>
                    <a:stretch>
                      <a:fillRect/>
                    </a:stretch>
                  </pic:blipFill>
                  <pic:spPr>
                    <a:xfrm>
                      <a:off x="0" y="0"/>
                      <a:ext cx="6217920" cy="3497580"/>
                    </a:xfrm>
                    <a:prstGeom prst="rect"/>
                  </pic:spPr>
                </pic:pic>
              </a:graphicData>
            </a:graphic>
          </wp:inline>
        </w:drawing>
      </w:r>
    </w:p>
    <w:p>
      <w:pPr>
        <w:jc w:val="center"/>
      </w:pPr>
      <w:r>
        <w:rPr>
          <w:i/>
          <w:sz w:val="18"/>
        </w:rPr>
        <w:t>Figure 5.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6" name="Picture 6"/>
            <wp:cNvGraphicFramePr>
              <a:graphicFrameLocks noChangeAspect="1"/>
            </wp:cNvGraphicFramePr>
            <a:graphic>
              <a:graphicData uri="http://schemas.openxmlformats.org/drawingml/2006/picture">
                <pic:pic>
                  <pic:nvPicPr>
                    <pic:cNvPr id="0" name="vital_gray_zone_workflow.png"/>
                    <pic:cNvPicPr/>
                  </pic:nvPicPr>
                  <pic:blipFill>
                    <a:blip r:embed="rId14"/>
                    <a:stretch>
                      <a:fillRect/>
                    </a:stretch>
                  </pic:blipFill>
                  <pic:spPr>
                    <a:xfrm>
                      <a:off x="0" y="0"/>
                      <a:ext cx="6217920" cy="3826190"/>
                    </a:xfrm>
                    <a:prstGeom prst="rect"/>
                  </pic:spPr>
                </pic:pic>
              </a:graphicData>
            </a:graphic>
          </wp:inline>
        </w:drawing>
      </w:r>
    </w:p>
    <w:p>
      <w:pPr>
        <w:jc w:val="center"/>
      </w:pPr>
      <w:r>
        <w:rPr>
          <w:i/>
          <w:sz w:val="18"/>
        </w:rPr>
        <w:t>Figure 6.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r>
        <w:t>Historical analysis is retained as a secondary audit layer, not as the main claim. In the January 2023 arrhythmia snapshot, 1,669 baseline P/LP variants were available; by April 2026, 17 met the strict endpoint of P/LP to B/LB or VUS, and 113 met the broader endpoint of P/LP to non-P/LP, conflicting, other, or missing follow-up classification.</w:t>
      </w:r>
    </w:p>
    <w:p>
      <w:r>
        <w:t>VITAL red identified only 2 baseline variants. Neither became B/LB or VUS under the strict endpoint (0/2; 95% CI 0.00-0.66). Under the broader endpoint, 1/2 VITAL-red variants later destabilized, compared with 113/1,669 overall, corresponding to 50.0% versus 6.8% and a 7.44-fold enrichment versus non-red variants (95% CI 2.36-23.31). This is directionally interesting but statistically fragile: adding or removing a single event would materially change the apparent enrichment. The historical result should therefore be read as qualitative consistency for an intentionally tiny review queue, not as evidence that VITAL predicts future reclassification.</w:t>
      </w:r>
    </w:p>
    <w:p>
      <w:r>
        <w:t>Historical AC and threshold sensitivity supported the same operational interpretation. AC&gt;=10 and AC&gt;=20 selected the same two baseline red variants, while AC&gt;=5 added one lower-AC non-event and AC&gt;=50 retained only the strongest case. Threshold 80 showed higher apparent enrichment than 70 in one historical slice, but that estimate was based on a single red event and was not used to refit the model. The clinical logic for the default threshold remains workload-oriented: compress 115 naive arrhythmia AF alerts into a queue of 3, not necessarily into a queue of 1.</w:t>
      </w:r>
    </w:p>
    <w:p>
      <w:r>
        <w:t>Release-to-release composition was only partly stable. The January 2023 arrhythmia red set contained KCNE1 VCV001202620 and TRDN VCV001325231; the April 2026 set contained SCN5A VCV000440850, TRDN VCV001325231, and KCNH2 VCV004535537. The retained exact-VCV overlap was therefore 1 record. KCNH2 was not a drifted 2023 red call: the current red record is a later allele-specific c.2398+2T&gt;G assertion created/submitted in December 2025 with current AC support. This supports treating KCNH2 as a temporally new and weight-borderline signal.</w:t>
      </w:r>
    </w:p>
    <w:p>
      <w:pPr>
        <w:pStyle w:val="Heading2"/>
      </w:pPr>
      <w:r>
        <w:t>Multi-domain historical validation and alignment sanity checks</w:t>
      </w:r>
    </w:p>
    <w:p>
      <w:r>
        <w:t>The expanded historical dataset combined arrhythmia, cardiomyopathy, epilepsy, hearing loss, and random ClinVar P/LP records, yielding 3,063 pooled-deduplicated variants after prespecified duplicate and cross-domain leakage checks. No VITAL-red rows were removed by deduplication. Cardiomyopathy, epilepsy, and hearing-loss panels contributed no red calls at the AC&gt;=20 gate; arrhythmia and random ClinVar P/LP contributed two each.</w:t>
      </w:r>
    </w:p>
    <w:p>
      <w:r>
        <w:t>Pooled results were consistent with the arrhythmia-only message but remained sparse. The strict endpoint stayed negative: 0/4 VITAL-red variants became B/LB/VUS despite 24 strict events overall. For the broad endpoint, 2/4 red variants destabilized compared with 174/3,063 overall (50.0%, 95% CI 15.0%-85.0%; 8.80x enrichment). For the expanded endpoint, 3/4 red variants changed compared with 818/3,063 overall (75.0%, 95% CI 30.1%-95.4%; 2.81x enrichment). Recall was very low, so this remains an enrichment and specificity audit, not a prediction result. Stratified bootstrap and missing-ID breakdowns are provided in machine-readable outputs; neither altered the conclusion.</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7" name="Picture 7"/>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5"/>
                    <a:stretch>
                      <a:fillRect/>
                    </a:stretch>
                  </pic:blipFill>
                  <pic:spPr>
                    <a:xfrm>
                      <a:off x="0" y="0"/>
                      <a:ext cx="6217920" cy="3674225"/>
                    </a:xfrm>
                    <a:prstGeom prst="rect"/>
                  </pic:spPr>
                </pic:pic>
              </a:graphicData>
            </a:graphic>
          </wp:inline>
        </w:drawing>
      </w:r>
    </w:p>
    <w:p>
      <w:pPr>
        <w:jc w:val="center"/>
      </w:pPr>
      <w:r>
        <w:rPr>
          <w:i/>
          <w:sz w:val="18"/>
        </w:rPr>
        <w:t>Figure 7.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8" name="Picture 8"/>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16"/>
                    <a:stretch>
                      <a:fillRect/>
                    </a:stretch>
                  </pic:blipFill>
                  <pic:spPr>
                    <a:xfrm>
                      <a:off x="0" y="0"/>
                      <a:ext cx="6217920" cy="7461504"/>
                    </a:xfrm>
                    <a:prstGeom prst="rect"/>
                  </pic:spPr>
                </pic:pic>
              </a:graphicData>
            </a:graphic>
          </wp:inline>
        </w:drawing>
      </w:r>
    </w:p>
    <w:p>
      <w:pPr>
        <w:jc w:val="center"/>
      </w:pPr>
      <w:r>
        <w:rPr>
          <w:i/>
          <w:sz w:val="18"/>
        </w:rPr>
        <w:t>Figure 8. Independent 3,000-variant 2023-to-current historical validation curves.</w:t>
      </w:r>
    </w:p>
    <w:p/>
    <w:p>
      <w:r>
        <w:t>The larger current cross-disease validation sample contained 3,000 unique ClinVar P/LP variants from 726 genes after excluding arrhythmia genes and earlier external-panel genes. The design used 2,000 variants from the top 100 genes by ClinVar P/LP count plus 1,000 fully random eligible variants; sanity checks found no arrhythmia leaks, previous-panel overlaps, or duplicate variant IDs/keys.</w:t>
      </w:r>
    </w:p>
    <w:p>
      <w:r>
        <w:t>Frequency evidence was observed for 668/3,000 variants (22.3%; 95% CI 20.8%-23.8%). A naive popmax/global AF &gt;1e-5 screen flagged 332/3,000 variants (11.1%; 95% CI 10.0%-12.2%). AC-supported frequency evidence reduced this to 71/3,000 (2.37%; 95% CI 1.88%-2.97%). VITAL red reduced the urgent review queue to 3/3,000 variants (0.10%; 95% CI 0.034%-0.294%), equivalent to a 110.7-fold compression relative to naive AF screening. The red calls were PRG4 VCV003574703, MNS1 VCV003024123, and DYNC2H1 VCV002749617; all require disease-mechanism, inheritance, phenotype, and literature review rather than automatic reclassification.</w:t>
      </w:r>
    </w:p>
    <w:p>
      <w:r>
        <w:t>The same design applied to the January 2023 snapshot again showed high specificity and low recall. Baseline VITAL red flagged 13/3,000 variants (0.43%; 95% CI 0.25%-0.74%) compared with 379/3,000 naive AF flags (12.6%; 95% CI 11.5%-13.9%). By April 2026, VITAL red captured only 1/23 strict P/LP-to-B/LB-or-VUS events (4.3% recall; 95% CI 0.8%-21.0%) but achieved 99.6% specificity. Under the expanded instability endpoint, 11/13 red calls changed (84.6%; 95% CI 57.8%-95.7%) with 99.9% specificity, while recall remained only 1.4%. This confirms the operating profile: VITAL red enriches a tiny audit queue but is not a broad future-downgrade predictor.</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9" name="Picture 9"/>
            <wp:cNvGraphicFramePr>
              <a:graphicFrameLocks noChangeAspect="1"/>
            </wp:cNvGraphicFramePr>
            <a:graphic>
              <a:graphicData uri="http://schemas.openxmlformats.org/drawingml/2006/picture">
                <pic:pic>
                  <pic:nvPicPr>
                    <pic:cNvPr id="0" name="vital_external_panel_score_distribution.png"/>
                    <pic:cNvPicPr/>
                  </pic:nvPicPr>
                  <pic:blipFill>
                    <a:blip r:embed="rId17"/>
                    <a:stretch>
                      <a:fillRect/>
                    </a:stretch>
                  </pic:blipFill>
                  <pic:spPr>
                    <a:xfrm>
                      <a:off x="0" y="0"/>
                      <a:ext cx="6217920" cy="3165487"/>
                    </a:xfrm>
                    <a:prstGeom prst="rect"/>
                  </pic:spPr>
                </pic:pic>
              </a:graphicData>
            </a:graphic>
          </wp:inline>
        </w:drawing>
      </w:r>
    </w:p>
    <w:p>
      <w:pPr>
        <w:jc w:val="center"/>
      </w:pPr>
      <w:r>
        <w:rPr>
          <w:i/>
          <w:sz w:val="18"/>
        </w:rPr>
        <w:t>Figure 9.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10" name="Picture 10"/>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8"/>
                    <a:stretch>
                      <a:fillRect/>
                    </a:stretch>
                  </pic:blipFill>
                  <pic:spPr>
                    <a:xfrm>
                      <a:off x="0" y="0"/>
                      <a:ext cx="6217920" cy="4304714"/>
                    </a:xfrm>
                    <a:prstGeom prst="rect"/>
                  </pic:spPr>
                </pic:pic>
              </a:graphicData>
            </a:graphic>
          </wp:inline>
        </w:drawing>
      </w:r>
    </w:p>
    <w:p>
      <w:pPr>
        <w:jc w:val="center"/>
      </w:pPr>
      <w:r>
        <w:rPr>
          <w:i/>
          <w:sz w:val="18"/>
        </w:rPr>
        <w:t>Figure 10. KCNH2 non-overlap diagnostic analysis.</w:t>
      </w:r>
    </w:p>
    <w:p/>
    <w:p>
      <w:pPr>
        <w:jc w:val="center"/>
      </w:pPr>
      <w:r>
        <w:drawing>
          <wp:inline xmlns:a="http://schemas.openxmlformats.org/drawingml/2006/main" xmlns:pic="http://schemas.openxmlformats.org/drawingml/2006/picture">
            <wp:extent cx="6217920" cy="3497580"/>
            <wp:docPr id="11" name="Picture 11"/>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9"/>
                    <a:stretch>
                      <a:fillRect/>
                    </a:stretch>
                  </pic:blipFill>
                  <pic:spPr>
                    <a:xfrm>
                      <a:off x="0" y="0"/>
                      <a:ext cx="6217920" cy="3497580"/>
                    </a:xfrm>
                    <a:prstGeom prst="rect"/>
                  </pic:spPr>
                </pic:pic>
              </a:graphicData>
            </a:graphic>
          </wp:inline>
        </w:drawing>
      </w:r>
    </w:p>
    <w:p>
      <w:pPr>
        <w:jc w:val="center"/>
      </w:pPr>
      <w:r>
        <w:rPr>
          <w:i/>
          <w:sz w:val="18"/>
        </w:rPr>
        <w:t>Figure 11.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The central finding is not that ClinVar P/LP variants are usually rare; that is expected. The stronger finding is that frequency tension is common but hidden. Global AF detected only 13 arrhythmia variants above 1e-5, whereas popmax/global screening detected 115, and nearly one-third of variants with complete popmax data were globally rare but population-enriched. At the same time, more than 80% of variants lacked usable exact AF evidence, and indels/duplications were disproportionately affected. Frequency workflows therefore fail in two directions: they miss ancestry-specific frequency contradictions and they can overinterpret absence for poorly represented variant classes.</w:t>
      </w:r>
    </w:p>
    <w:p>
      <w:r>
        <w:t>VITAL's contribution is to make this tension inspectable without turning it into an automatic classification decision. The framework compressed 115 naive AF alerts into 3 red-priority cases, removing 112 urgent review triggers while preserving component-level explanations. In policy terms, this is conservative clinical decision support: explainable, auditable, and designed to preserve clinician oversight. A VITAL-red label means "review now," not "algorithm already benign."</w:t>
      </w:r>
    </w:p>
    <w:p>
      <w:r>
        <w:t>The biological contrast layer is what makes the red queue memorable rather than merely small. SCN5A is not just an AF outlier; it is a fragile haplotype/drug-response assertion with strong AFR enrichment. TRDN shows why LOF is not automatically incompatible with population frequency when the disease model is recessive/biallelic and gnomAD LOEUF does not indicate LOF constraint. KCNH2 is the honest borderline case: a splice assertion in a constrained dominant LQTS gene, but one with sparse allele-specific evidence and weight sensitivity. These three examples show that VITAL is organizing biological disagreement, not merely filtering rows.</w:t>
      </w:r>
    </w:p>
    <w:p>
      <w:r>
        <w:t>Historical and external analyses support the same operating profile. VITAL red is high-specificity and low-recall. It is poor as a broad predictor of future strict downgrades, but useful as a narrow audit layer that reduces false-positive review burden. Weight and AC sensitivity further show that the red queue is small and largely stable, while KCNH2 remains threshold-adjacent and should be communicated as such.</w:t>
      </w:r>
    </w:p>
    <w:p>
      <w:r>
        <w:t>Finally, the KCNH2 duplication analysis illustrates why representation-aware interpretation matters. KCNH2's overall non-overlap rate is not unique when compared with SCN5A, but its duplication burden explains much of the statistical excess. GC content, repeats, submission date, and genome data do not resolve mechanism. The practical conclusion is still clear: absence of a KCNH2 duplication from gnomAD should not be treated as strong rarity evidence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The main limitations are practical rather than cosmetic. VITAL is a review-prioritization framework, not a clinical truth model: red calls should trigger expert review, not automatic reclassification. It does not directly encode penetrance, phase, zygosity, transcript-specific rescue, phenotype match, segregation, functional assays, MAVE scores, medication response, or private laboratory evidence. Disease mechanism still matters; recessive carrier states, founder alleles, incomplete penetrance, mitochondrial mechanisms, and pharmacogenomic susceptibility can all change how frequency tension should be interpreted.</w:t>
      </w:r>
    </w:p>
    <w:p>
      <w:r>
        <w:t>The score is expert-specified rather than learned. Weight-profile sensitivity showed no gained red variants, but KCNH2 was unstable in 3/5 profiles, so future disease-specific deployments should recalibrate weights, AC gates, and thresholds against local disease architecture before prospective use. The operational benchmark is also proxy-labeled and partly circular because weak review support and AC-supported frequency evidence help define both the benchmark positives and the red gate; precision/recall should therefore be read as workflow-burden diagnostics, not clinical accuracy.</w:t>
      </w:r>
    </w:p>
    <w:p>
      <w:r>
        <w:t>Historical analyses are underpowered for prediction. Even in the 3,000-variant cross-disease sample, red calls remained sparse and strict downgrade recall was low. The expanded instability endpoint includes soft database changes, including review-status or aggregate-text changes, and should be interpreted as curation activity rather than clinical downgrade. Release-to-release red-queue stability is based on only two freezes and should be tracked prospectively as retained, gained, and lost calls at each database update.</w:t>
      </w:r>
    </w:p>
    <w:p>
      <w:r>
        <w:t>External panels are portability stress tests, not sensitivity analyses. The BRCA/MMR/APC comparator is descriptive rather than a clean negative control because cancer-predisposition genes have founder effects and incomplete penetrance. LOF subtype annotation was derived from ClinVar/HGVS strings and does not replace transcript-aware consequence annotation, NMD prediction, exon/domain context, or curated functional assays. The KCNH2 duplication result is statistical rather than mechanistic: duplications account for much of the non-overlap signal, but the underlying cause remains unresolved. Finally, the data freeze was April 21, 2026; all red-priority variants should be rechecked against live ClinVar before publication, clinical reporting, or patient-facing decisions.</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Add inheritance-aware routing to the review queue. Dominant/high-penetrance calls, recessive carrier-frequency signals, founder or low-penetrance alleles, pharmacogenomic susceptibility assertions, and unknown-mechanism variants should not be interpreted through the same frequency lens. VITAL identifies tension; the review workflow should route that tension through the appropriate disease-mechanism pathway.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 In a clinical workflow, the red queue should trigger immediate expert review, orange/yellow variants can be monitored or reviewed by batch, and gray variants should enter the no-frequency-evidence workflow described above. The present implementation is best suited to laboratories with bioinformatics support. To make the framework immediately inspectable, we also provide a lightweight Google Colab demonstration that scores a single cached VCV record, a small CSV batch, or a demo top-suspicious table in approximately two minutes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VITAL-red review-priority calls. Historical cross-disease validation remains high-specificity and low-recall, with 13 red calls among 3,000 baseline 2023 variants and only 1/23 strict future downgrade events captured; VITAL red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Docker/containerized environment is planned as the next reproducibility layer so that package versions and system dependencies can be fixed in addition to the data freeze.</w:t>
      </w:r>
    </w:p>
    <w:p>
      <w:r>
        <w:t>Key output groups include per-variant VITAL scores and component explanations, method-comparison tables, threshold and AC sensitivity sweeps, weight-sensitivity tables, historical validation outputs, external-panel stress tests, 3,000-variant cross-disease validation outputs, and generated figures. The most central files are arrhythmia_vital_scores.csv, arrhythmia_vital_component_breakdown.csv, arrhythmia_vital_method_comparison.csv, arrhythmia_vital_pathogenicity_tension_continuum.csv, vital_red_manual_review_live_check.csv, vital_cross_disease_3000_cross_disease_validation_summary.csv, and vital_cross_disease_3000_2023_01_to_current_vital_historical_enrichment.csv.</w:t>
      </w:r>
    </w:p>
    <w:p>
      <w:r>
        <w:t>The biological contrast layer is provided as data/processed/arrhythmia_gene_biological_context.csv, data/processed/arrhythmia_vital_biological_contrast_cases.csv, data/processed/arrhythmia_vital_biological_contrast_summary.csv, and figures/vital_biological_contrast_cases.png. It is generated by src/run_vital_biological_contrast.py from gnomAD v4.1 constraint metrics and Human Protein Atlas v23 tissue-consensus expression downloads; raw external downloads are treated as reproducible inputs and are not committed as bulky repository artifacts.</w:t>
      </w:r>
    </w:p>
    <w:p>
      <w:r>
        <w:t>Usability files include run_vital.py, notebooks/vital_demo_colab.ipynb, data/examples/sample_variants.csv, and data/processed/vital_top_suspicious.csv.</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pPr>
        <w:pStyle w:val="ListBullet"/>
      </w:pPr>
      <w:r>
        <w:t>Supplementary Table S16: biological contrast case table linking VITAL-red variants to LOEUF, heart expression, expected mechanism, and case-level interpretation.</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p>
      <w:pPr>
        <w:pStyle w:val="Heading2"/>
      </w:pPr>
      <w:r>
        <w:t>Appendix Table A16. VITAL-red biological contrast case studies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variant</w:t>
            </w:r>
          </w:p>
        </w:tc>
        <w:tc>
          <w:tcPr>
            <w:tcW w:type="dxa" w:w="1481"/>
            <w:vAlign w:val="top"/>
            <w:shd w:fill="D9EAF7"/>
          </w:tcPr>
          <w:p>
            <w:pPr>
              <w:jc w:val="left"/>
            </w:pPr>
            <w:r/>
            <w:r>
              <w:rPr>
                <w:b/>
                <w:sz w:val="14"/>
              </w:rPr>
              <w:t>vital</w:t>
            </w:r>
          </w:p>
        </w:tc>
        <w:tc>
          <w:tcPr>
            <w:tcW w:type="dxa" w:w="1481"/>
            <w:vAlign w:val="top"/>
            <w:shd w:fill="D9EAF7"/>
          </w:tcPr>
          <w:p>
            <w:pPr>
              <w:jc w:val="left"/>
            </w:pPr>
            <w:r/>
            <w:r>
              <w:rPr>
                <w:b/>
                <w:sz w:val="14"/>
              </w:rPr>
              <w:t>af_signal</w:t>
            </w:r>
          </w:p>
        </w:tc>
        <w:tc>
          <w:tcPr>
            <w:tcW w:type="dxa" w:w="1481"/>
            <w:vAlign w:val="top"/>
            <w:shd w:fill="D9EAF7"/>
          </w:tcPr>
          <w:p>
            <w:pPr>
              <w:jc w:val="left"/>
            </w:pPr>
            <w:r/>
            <w:r>
              <w:rPr>
                <w:b/>
                <w:sz w:val="14"/>
              </w:rPr>
              <w:t>loeuf_constraint_argument</w:t>
            </w:r>
          </w:p>
        </w:tc>
        <w:tc>
          <w:tcPr>
            <w:tcW w:type="dxa" w:w="1481"/>
            <w:vAlign w:val="top"/>
            <w:shd w:fill="D9EAF7"/>
          </w:tcPr>
          <w:p>
            <w:pPr>
              <w:jc w:val="left"/>
            </w:pPr>
            <w:r/>
            <w:r>
              <w:rPr>
                <w:b/>
                <w:sz w:val="14"/>
              </w:rPr>
              <w:t>heart_expression</w:t>
            </w:r>
          </w:p>
        </w:tc>
        <w:tc>
          <w:tcPr>
            <w:tcW w:type="dxa" w:w="1481"/>
            <w:vAlign w:val="top"/>
            <w:shd w:fill="D9EAF7"/>
          </w:tcPr>
          <w:p>
            <w:pPr>
              <w:jc w:val="left"/>
            </w:pPr>
            <w:r/>
            <w:r>
              <w:rPr>
                <w:b/>
                <w:sz w:val="14"/>
              </w:rPr>
              <w:t>expected_mechanism</w:t>
            </w:r>
          </w:p>
        </w:tc>
        <w:tc>
          <w:tcPr>
            <w:tcW w:type="dxa" w:w="1481"/>
            <w:vAlign w:val="top"/>
            <w:shd w:fill="D9EAF7"/>
          </w:tcPr>
          <w:p>
            <w:pPr>
              <w:jc w:val="left"/>
            </w:pPr>
            <w:r/>
            <w:r>
              <w:rPr>
                <w:b/>
                <w:sz w:val="14"/>
              </w:rPr>
              <w:t>reality_interpretation</w:t>
            </w:r>
          </w:p>
        </w:tc>
      </w:tr>
      <w:tr>
        <w:tc>
          <w:tcPr>
            <w:tcW w:type="dxa" w:w="1481"/>
            <w:vAlign w:val="top"/>
          </w:tcPr>
          <w:p>
            <w:pPr>
              <w:jc w:val="left"/>
            </w:pPr>
            <w:r/>
            <w:r>
              <w:rPr>
                <w:b w:val="0"/>
                <w:sz w:val="14"/>
              </w:rPr>
              <w:t>SCN5A VCV000440850 (NM_000335.4(SCN5A):c.[3919C&gt;T;694G&gt;A])</w:t>
            </w:r>
          </w:p>
        </w:tc>
        <w:tc>
          <w:tcPr>
            <w:tcW w:type="dxa" w:w="1481"/>
            <w:vAlign w:val="top"/>
          </w:tcPr>
          <w:p>
            <w:pPr>
              <w:jc w:val="left"/>
            </w:pPr>
            <w:r/>
            <w:r>
              <w:rPr>
                <w:b w:val="0"/>
                <w:sz w:val="14"/>
              </w:rPr>
              <w:t>96.1 / red reclassification priority</w:t>
            </w:r>
          </w:p>
        </w:tc>
        <w:tc>
          <w:tcPr>
            <w:tcW w:type="dxa" w:w="1481"/>
            <w:vAlign w:val="top"/>
          </w:tcPr>
          <w:p>
            <w:pPr>
              <w:jc w:val="left"/>
            </w:pPr>
            <w:r/>
            <w:r>
              <w:rPr>
                <w:b w:val="0"/>
                <w:sz w:val="14"/>
              </w:rPr>
              <w:t>global AF=1.46e-04, AC=214; AFR popmax AF=5.68e-03, AC=190</w:t>
            </w:r>
          </w:p>
        </w:tc>
        <w:tc>
          <w:tcPr>
            <w:tcW w:type="dxa" w:w="1481"/>
            <w:vAlign w:val="top"/>
          </w:tcPr>
          <w:p>
            <w:pPr>
              <w:jc w:val="left"/>
            </w:pPr>
            <w:r/>
            <w:r>
              <w:rPr>
                <w:b w:val="0"/>
                <w:sz w:val="14"/>
              </w:rPr>
              <w:t>LOEUF=0.372 (moderately constrained)</w:t>
            </w:r>
          </w:p>
        </w:tc>
        <w:tc>
          <w:tcPr>
            <w:tcW w:type="dxa" w:w="1481"/>
            <w:vAlign w:val="top"/>
          </w:tcPr>
          <w:p>
            <w:pPr>
              <w:jc w:val="left"/>
            </w:pPr>
            <w:r/>
            <w:r>
              <w:rPr>
                <w:b w:val="0"/>
                <w:sz w:val="14"/>
              </w:rPr>
              <w:t>HPA heart muscle nTPM=41.3 (moderate)</w:t>
            </w:r>
          </w:p>
        </w:tc>
        <w:tc>
          <w:tcPr>
            <w:tcW w:type="dxa" w:w="1481"/>
            <w:vAlign w:val="top"/>
          </w:tcPr>
          <w:p>
            <w:pPr>
              <w:jc w:val="left"/>
            </w:pPr>
            <w:r/>
            <w:r>
              <w:rPr>
                <w:b w:val="0"/>
                <w:sz w:val="14"/>
              </w:rPr>
              <w:t>dominant Brugada/channelopathy label, but literature context includes drug-triggered susceptibility</w:t>
            </w:r>
          </w:p>
        </w:tc>
        <w:tc>
          <w:tcPr>
            <w:tcW w:type="dxa" w:w="1481"/>
            <w:vAlign w:val="top"/>
          </w:tcPr>
          <w:p>
            <w:pPr>
              <w:jc w:val="left"/>
            </w:pPr>
            <w:r/>
            <w:r>
              <w:rPr>
                <w:b w:val="0"/>
                <w:sz w:val="14"/>
              </w:rPr>
              <w:t>Frequency incompatible with a straightforward high-penetrance dominant Mendelian label; better framed as a context-dependent susceptibility haplotype pending expert review.</w:t>
            </w:r>
          </w:p>
        </w:tc>
      </w:tr>
      <w:tr>
        <w:tc>
          <w:tcPr>
            <w:tcW w:type="dxa" w:w="1481"/>
            <w:vAlign w:val="top"/>
          </w:tcPr>
          <w:p>
            <w:pPr>
              <w:jc w:val="left"/>
            </w:pPr>
            <w:r/>
            <w:r>
              <w:rPr>
                <w:b w:val="0"/>
                <w:sz w:val="14"/>
              </w:rPr>
              <w:t>TRDN VCV001325231 (NM_006073.4(TRDN):c.1050del (p.Glu351fs))</w:t>
            </w:r>
          </w:p>
        </w:tc>
        <w:tc>
          <w:tcPr>
            <w:tcW w:type="dxa" w:w="1481"/>
            <w:vAlign w:val="top"/>
          </w:tcPr>
          <w:p>
            <w:pPr>
              <w:jc w:val="left"/>
            </w:pPr>
            <w:r/>
            <w:r>
              <w:rPr>
                <w:b w:val="0"/>
                <w:sz w:val="14"/>
              </w:rPr>
              <w:t>74.3 / red reclassification priority</w:t>
            </w:r>
          </w:p>
        </w:tc>
        <w:tc>
          <w:tcPr>
            <w:tcW w:type="dxa" w:w="1481"/>
            <w:vAlign w:val="top"/>
          </w:tcPr>
          <w:p>
            <w:pPr>
              <w:jc w:val="left"/>
            </w:pPr>
            <w:r/>
            <w:r>
              <w:rPr>
                <w:b w:val="0"/>
                <w:sz w:val="14"/>
              </w:rPr>
              <w:t>global AF=2.77e-05, AC=40; AMR popmax AF=2.18e-04, AC=9</w:t>
            </w:r>
          </w:p>
        </w:tc>
        <w:tc>
          <w:tcPr>
            <w:tcW w:type="dxa" w:w="1481"/>
            <w:vAlign w:val="top"/>
          </w:tcPr>
          <w:p>
            <w:pPr>
              <w:jc w:val="left"/>
            </w:pPr>
            <w:r/>
            <w:r>
              <w:rPr>
                <w:b w:val="0"/>
                <w:sz w:val="14"/>
              </w:rPr>
              <w:t>LOEUF=1.359 (not LOF-constrained)</w:t>
            </w:r>
          </w:p>
        </w:tc>
        <w:tc>
          <w:tcPr>
            <w:tcW w:type="dxa" w:w="1481"/>
            <w:vAlign w:val="top"/>
          </w:tcPr>
          <w:p>
            <w:pPr>
              <w:jc w:val="left"/>
            </w:pPr>
            <w:r/>
            <w:r>
              <w:rPr>
                <w:b w:val="0"/>
                <w:sz w:val="14"/>
              </w:rPr>
              <w:t>HPA heart muscle nTPM=406.7 (high)</w:t>
            </w:r>
          </w:p>
        </w:tc>
        <w:tc>
          <w:tcPr>
            <w:tcW w:type="dxa" w:w="1481"/>
            <w:vAlign w:val="top"/>
          </w:tcPr>
          <w:p>
            <w:pPr>
              <w:jc w:val="left"/>
            </w:pPr>
            <w:r/>
            <w:r>
              <w:rPr>
                <w:b w:val="0"/>
                <w:sz w:val="14"/>
              </w:rPr>
              <w:t>recessive or biallelic null mechanism; heterozygous carrier frequency can be tolerated</w:t>
            </w:r>
          </w:p>
        </w:tc>
        <w:tc>
          <w:tcPr>
            <w:tcW w:type="dxa" w:w="1481"/>
            <w:vAlign w:val="top"/>
          </w:tcPr>
          <w:p>
            <w:pPr>
              <w:jc w:val="left"/>
            </w:pPr>
            <w:r/>
            <w:r>
              <w:rPr>
                <w:b w:val="0"/>
                <w:sz w:val="14"/>
              </w:rPr>
              <w:t>Consistent with recessive carrier frequency rather than automatic benignity; VITAL flags assertion tension, not loss of affected-state pathogenicity.</w:t>
            </w:r>
          </w:p>
        </w:tc>
      </w:tr>
      <w:tr>
        <w:tc>
          <w:tcPr>
            <w:tcW w:type="dxa" w:w="1481"/>
            <w:vAlign w:val="top"/>
          </w:tcPr>
          <w:p>
            <w:pPr>
              <w:jc w:val="left"/>
            </w:pPr>
            <w:r/>
            <w:r>
              <w:rPr>
                <w:b w:val="0"/>
                <w:sz w:val="14"/>
              </w:rPr>
              <w:t>KCNH2 VCV004535537 (NM_000238.4(KCNH2):c.2398+2T&gt;G)</w:t>
            </w:r>
          </w:p>
        </w:tc>
        <w:tc>
          <w:tcPr>
            <w:tcW w:type="dxa" w:w="1481"/>
            <w:vAlign w:val="top"/>
          </w:tcPr>
          <w:p>
            <w:pPr>
              <w:jc w:val="left"/>
            </w:pPr>
            <w:r/>
            <w:r>
              <w:rPr>
                <w:b w:val="0"/>
                <w:sz w:val="14"/>
              </w:rPr>
              <w:t>70.3 / red reclassification priority</w:t>
            </w:r>
          </w:p>
        </w:tc>
        <w:tc>
          <w:tcPr>
            <w:tcW w:type="dxa" w:w="1481"/>
            <w:vAlign w:val="top"/>
          </w:tcPr>
          <w:p>
            <w:pPr>
              <w:jc w:val="left"/>
            </w:pPr>
            <w:r/>
            <w:r>
              <w:rPr>
                <w:b w:val="0"/>
                <w:sz w:val="14"/>
              </w:rPr>
              <w:t>global AF=4.37e-05, AC=24; ASJ popmax AF=1.32e-04, AC=2</w:t>
            </w:r>
          </w:p>
        </w:tc>
        <w:tc>
          <w:tcPr>
            <w:tcW w:type="dxa" w:w="1481"/>
            <w:vAlign w:val="top"/>
          </w:tcPr>
          <w:p>
            <w:pPr>
              <w:jc w:val="left"/>
            </w:pPr>
            <w:r/>
            <w:r>
              <w:rPr>
                <w:b w:val="0"/>
                <w:sz w:val="14"/>
              </w:rPr>
              <w:t>LOEUF=0.568 (moderately constrained)</w:t>
            </w:r>
          </w:p>
        </w:tc>
        <w:tc>
          <w:tcPr>
            <w:tcW w:type="dxa" w:w="1481"/>
            <w:vAlign w:val="top"/>
          </w:tcPr>
          <w:p>
            <w:pPr>
              <w:jc w:val="left"/>
            </w:pPr>
            <w:r/>
            <w:r>
              <w:rPr>
                <w:b w:val="0"/>
                <w:sz w:val="14"/>
              </w:rPr>
              <w:t>HPA heart muscle nTPM=28.7 (moderate)</w:t>
            </w:r>
          </w:p>
        </w:tc>
        <w:tc>
          <w:tcPr>
            <w:tcW w:type="dxa" w:w="1481"/>
            <w:vAlign w:val="top"/>
          </w:tcPr>
          <w:p>
            <w:pPr>
              <w:jc w:val="left"/>
            </w:pPr>
            <w:r/>
            <w:r>
              <w:rPr>
                <w:b w:val="0"/>
                <w:sz w:val="14"/>
              </w:rPr>
              <w:t>dominant high-penetrance splice-disruption model would predict strong rarity</w:t>
            </w:r>
          </w:p>
        </w:tc>
        <w:tc>
          <w:tcPr>
            <w:tcW w:type="dxa" w:w="1481"/>
            <w:vAlign w:val="top"/>
          </w:tcPr>
          <w:p>
            <w:pPr>
              <w:jc w:val="left"/>
            </w:pPr>
            <w:r/>
            <w:r>
              <w:rPr>
                <w:b w:val="0"/>
                <w:sz w:val="14"/>
              </w:rPr>
              <w:t>Frequency tension is biologically uncomfortable in a constrained dominant gene, but the case is borderline and could reflect allele-specific evidence gaps, reduced penetrance, founder enrichment, or overcalling.</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