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Severe variant annotations can coexist with ancestry-aware population-frequency contradiction. We tested whether ClinVar pathogenic/likely pathogenic (P/LP) arrhythmia assertions remain frequency-consistent when evaluated with popmax, allele count (AC), variant representation, and review support rather than global AF alone, and whether discordant assertions reveal systematically misframed biology rather than random noise.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We developed VITAL (Variant Interpretation Tension and Allele Load) as an explainable re-review prioritization framework and defined a compact pathogenicity-label ontology for routing discordant assertions, not an automated reclassification engine.</w:t>
      </w:r>
    </w:p>
    <w:p>
      <w:r>
        <w:rPr>
          <w:b/>
        </w:rPr>
        <w:t>Results:</w:t>
      </w:r>
      <w:r>
        <w:t xml:space="preserve"> Only 334/1,731 variants (19.3%) had usable exact AF evidence; the remaining 1,397 (80.7%) formed a non-evaluable representation gap rather than a frequency-consistent background.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Mechanism triage showed recurrent label-framing distortion rather than a simple error-rate estimate: carrier-compatible recessive assertions were presented as generic P/LP, context-dependent susceptibility appeared as Mendelian pathogenicity, and severe annotation sometimes substituted for mechanism-specific evidence. In the 3 VITAL-red cases, a logical incompatibility audit showed that the current public P/LP label could not be coherently read as an unqualified high-penetrance Mendelian assertion without changing or qualifying the biological state. Because patient-level outcomes are not observable in public ClinVar, we quantified decision-risk exposure: the 115 frequency-discordant arrhythmia records represented at least 168 submitter-exposure units, 9 AC-supported records represented 15 units, and VITAL compressed these to 3 urgent records. In an independent 3,000-variant cross-disease historical audit, VITAL-red captured one real P/LP-to-VUS reclassification (CFAP91 VCV000812096), while an expert-panel RYR1 downgrade without frequency tension remained outside scope.</w:t>
      </w:r>
    </w:p>
    <w:p>
      <w:r>
        <w:rPr>
          <w:b/>
        </w:rPr>
        <w:t>Conclusion:</w:t>
      </w:r>
      <w:r>
        <w:t xml:space="preserve"> Severe annotation alone is not sufficient to override population-frequency contradiction, and exact AF non-evaluability is itself an interpretability failure. A subset of public P/LP assertions appears biologically misframed rather than merely uncertain: susceptibility is not equivalent to Mendelian disease, carrier architecture is not equivalent to dominant pathogenicity, and severe annotation is not equivalent to high penetrance. A label-state ontology makes these distortions clinically actionable as review routes while preserving expert responsibility for final classification.</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may be biologically misframed: susceptibility or drug-response haplotypes can be flattened into Mendelian pathogenicity, recessive carrier states can masquerade as dominant disease assertions, and severe annotations can inflate confidence when mechanism-specific evidence is thin. We introduce VITAL as an explainable re-review prioritization framework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Among 334 AF-observed arrhythmia variants, 115 (34.4%) had popmax/global AF &gt;1e-5. Among LOF/splice assertions, 92/262 (35.1%) were frequency-discordant, similar to missense assertions (19/66, 28.8%; Fisher OR=1.34, p=0.384). Frameshift, stop-gained, and canonical splice variants all showed naive frequency discordance.</w:t>
      </w:r>
    </w:p>
    <w:p>
      <w:r>
        <w:t>This result does not mean that 35.1% of LOF/splice assertions are wrong. It means that the P/LP label often lacks the biological frame needed to interpret the assertion safely.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Workflow-concordance benchmarking supported the selected red gate but was not treated as diagnostic accuracy. The proxy positives were weak-review, AC-supported frequency signals; VITAL red captured the 3 operational positives at cutoffs 65-70 while avoiding proxy false-positive urgent review triggers. Sensitivity details are provided in supplementary tables.</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Variant</w:t>
            </w:r>
          </w:p>
        </w:tc>
        <w:tc>
          <w:tcPr>
            <w:tcW w:type="dxa" w:w="2074"/>
            <w:vAlign w:val="top"/>
            <w:shd w:fill="D9EAF7"/>
          </w:tcPr>
          <w:p>
            <w:pPr>
              <w:jc w:val="left"/>
            </w:pPr>
            <w:r/>
            <w:r>
              <w:rPr>
                <w:b/>
                <w:sz w:val="16"/>
              </w:rPr>
              <w:t>AF/AC signal</w:t>
            </w:r>
          </w:p>
        </w:tc>
        <w:tc>
          <w:tcPr>
            <w:tcW w:type="dxa" w:w="2074"/>
            <w:vAlign w:val="top"/>
            <w:shd w:fill="D9EAF7"/>
          </w:tcPr>
          <w:p>
            <w:pPr>
              <w:jc w:val="left"/>
            </w:pPr>
            <w:r/>
            <w:r>
              <w:rPr>
                <w:b/>
                <w:sz w:val="16"/>
              </w:rPr>
              <w:t>Review support</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Misframed-biology mode</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AFR popmax AF=5.68e-3; AC=190</w:t>
            </w:r>
          </w:p>
        </w:tc>
        <w:tc>
          <w:tcPr>
            <w:tcW w:type="dxa" w:w="2074"/>
            <w:vAlign w:val="top"/>
          </w:tcPr>
          <w:p>
            <w:pPr>
              <w:jc w:val="left"/>
            </w:pPr>
            <w:r/>
            <w:r>
              <w:rPr>
                <w:b w:val="0"/>
                <w:sz w:val="16"/>
              </w:rPr>
              <w:t>No assertion criteria</w:t>
            </w:r>
          </w:p>
        </w:tc>
        <w:tc>
          <w:tcPr>
            <w:tcW w:type="dxa" w:w="2074"/>
            <w:vAlign w:val="top"/>
          </w:tcPr>
          <w:p>
            <w:pPr>
              <w:jc w:val="left"/>
            </w:pPr>
            <w:r/>
            <w:r>
              <w:rPr>
                <w:b w:val="0"/>
                <w:sz w:val="16"/>
              </w:rPr>
              <w:t>96.1</w:t>
            </w:r>
          </w:p>
        </w:tc>
        <w:tc>
          <w:tcPr>
            <w:tcW w:type="dxa" w:w="2074"/>
            <w:vAlign w:val="top"/>
          </w:tcPr>
          <w:p>
            <w:pPr>
              <w:jc w:val="left"/>
            </w:pPr>
            <w:r/>
            <w:r>
              <w:rPr>
                <w:b w:val="0"/>
                <w:sz w:val="16"/>
              </w:rPr>
              <w:t>Susceptibility/haplotype inflated into Mendelian P/LP</w:t>
            </w:r>
          </w:p>
        </w:tc>
      </w:tr>
      <w:tr>
        <w:tc>
          <w:tcPr>
            <w:tcW w:type="dxa" w:w="2074"/>
            <w:vAlign w:val="top"/>
          </w:tcPr>
          <w:p>
            <w:pPr>
              <w:jc w:val="left"/>
            </w:pPr>
            <w:r/>
            <w:r>
              <w:rPr>
                <w:b w:val="0"/>
                <w:sz w:val="16"/>
              </w:rPr>
              <w:t>TRDN VCV001325231, c.1050del</w:t>
            </w:r>
          </w:p>
        </w:tc>
        <w:tc>
          <w:tcPr>
            <w:tcW w:type="dxa" w:w="2074"/>
            <w:vAlign w:val="top"/>
          </w:tcPr>
          <w:p>
            <w:pPr>
              <w:jc w:val="left"/>
            </w:pPr>
            <w:r/>
            <w:r>
              <w:rPr>
                <w:b w:val="0"/>
                <w:sz w:val="16"/>
              </w:rPr>
              <w:t>Global AC=40; AMR popmax AF=2.18e-4</w:t>
            </w:r>
          </w:p>
        </w:tc>
        <w:tc>
          <w:tcPr>
            <w:tcW w:type="dxa" w:w="2074"/>
            <w:vAlign w:val="top"/>
          </w:tcPr>
          <w:p>
            <w:pPr>
              <w:jc w:val="left"/>
            </w:pPr>
            <w:r/>
            <w:r>
              <w:rPr>
                <w:b w:val="0"/>
                <w:sz w:val="16"/>
              </w:rPr>
              <w:t>Single submitter</w:t>
            </w:r>
          </w:p>
        </w:tc>
        <w:tc>
          <w:tcPr>
            <w:tcW w:type="dxa" w:w="2074"/>
            <w:vAlign w:val="top"/>
          </w:tcPr>
          <w:p>
            <w:pPr>
              <w:jc w:val="left"/>
            </w:pPr>
            <w:r/>
            <w:r>
              <w:rPr>
                <w:b w:val="0"/>
                <w:sz w:val="16"/>
              </w:rPr>
              <w:t>74.3</w:t>
            </w:r>
          </w:p>
        </w:tc>
        <w:tc>
          <w:tcPr>
            <w:tcW w:type="dxa" w:w="2074"/>
            <w:vAlign w:val="top"/>
          </w:tcPr>
          <w:p>
            <w:pPr>
              <w:jc w:val="left"/>
            </w:pPr>
            <w:r/>
            <w:r>
              <w:rPr>
                <w:b w:val="0"/>
                <w:sz w:val="16"/>
              </w:rPr>
              <w:t>Carrier architecture framed without affected-state context</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Global AC=24; ASJ popmax AF=1.32e-4</w:t>
            </w:r>
          </w:p>
        </w:tc>
        <w:tc>
          <w:tcPr>
            <w:tcW w:type="dxa" w:w="2074"/>
            <w:vAlign w:val="top"/>
          </w:tcPr>
          <w:p>
            <w:pPr>
              <w:jc w:val="left"/>
            </w:pPr>
            <w:r/>
            <w:r>
              <w:rPr>
                <w:b w:val="0"/>
                <w:sz w:val="16"/>
              </w:rPr>
              <w:t>Single submitter</w:t>
            </w:r>
          </w:p>
        </w:tc>
        <w:tc>
          <w:tcPr>
            <w:tcW w:type="dxa" w:w="2074"/>
            <w:vAlign w:val="top"/>
          </w:tcPr>
          <w:p>
            <w:pPr>
              <w:jc w:val="left"/>
            </w:pPr>
            <w:r/>
            <w:r>
              <w:rPr>
                <w:b w:val="0"/>
                <w:sz w:val="16"/>
              </w:rPr>
              <w:t>70.3</w:t>
            </w:r>
          </w:p>
        </w:tc>
        <w:tc>
          <w:tcPr>
            <w:tcW w:type="dxa" w:w="2074"/>
            <w:vAlign w:val="top"/>
          </w:tcPr>
          <w:p>
            <w:pPr>
              <w:jc w:val="left"/>
            </w:pPr>
            <w:r/>
            <w:r>
              <w:rPr>
                <w:b w:val="0"/>
                <w:sz w:val="16"/>
              </w:rPr>
              <w:t>Borderline severe-annotation inflation under weak evidence</w:t>
            </w:r>
          </w:p>
        </w:tc>
      </w:tr>
    </w:tbl>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VITAL does not declare them benign. It identifies records in which the public label may be too broad for the underlying biology.</w:t>
      </w:r>
    </w:p>
    <w:p>
      <w:pPr>
        <w:pStyle w:val="Heading2"/>
      </w:pPr>
      <w:r>
        <w:t>Logical incompatibility audit proves label-state insufficiency</w:t>
      </w:r>
    </w:p>
    <w:p>
      <w:r>
        <w:t>The core proof is not that these variants are benign, nor that ClinVar is "wrong." The proof is narrower: 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Thus, VITAL makes visible a state-coding problem in variant interpretation. Current ClinVar labeling collapses biologically distinct states into a single P/LP category: susceptibility is not Mendelian pathogenicity, carrier architecture is not dominant disease, and severe annotation is not proof of high penetrance. The result is not a benignity call; it is a proof that the unqualified label is insufficient for safe interpretation.</w:t>
      </w:r>
    </w:p>
    <w:p>
      <w:r>
        <w:t>We then made the evidentiary boundary explicit rather than implied. In the public red-case audit, all 3/3 cases had a public P/LP disease label and weak or single-submitter review support, and 2/3 had public citations or ClinVar literature mentions. However, 0/3 had structured public patient-level phenotype linkage sufficient for causality, 0/3 had public penetrance estimates, 0/3 had public segregation or allelic phase evidence, and 0/3 had documented cascade-testing or therapy outcome data in the scoring layer. The data therefore support public decision-risk exposure and urgent review priority, not a claim of proven misdiagnosis or measured downstream harm.</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Public evidence question</w:t>
            </w:r>
          </w:p>
        </w:tc>
        <w:tc>
          <w:tcPr>
            <w:tcW w:type="dxa" w:w="3456"/>
            <w:vAlign w:val="top"/>
            <w:shd w:fill="D9EAF7"/>
          </w:tcPr>
          <w:p>
            <w:pPr>
              <w:jc w:val="left"/>
            </w:pPr>
            <w:r/>
            <w:r>
              <w:rPr>
                <w:b/>
                <w:sz w:val="16"/>
              </w:rPr>
              <w:t>Red-priority cases with evidence</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P/LP public status and disease/condition label</w:t>
            </w:r>
          </w:p>
        </w:tc>
        <w:tc>
          <w:tcPr>
            <w:tcW w:type="dxa" w:w="3456"/>
            <w:vAlign w:val="top"/>
          </w:tcPr>
          <w:p>
            <w:pPr>
              <w:jc w:val="left"/>
            </w:pPr>
            <w:r/>
            <w:r>
              <w:rPr>
                <w:b w:val="0"/>
                <w:sz w:val="16"/>
              </w:rPr>
              <w:t>3/3</w:t>
            </w:r>
          </w:p>
        </w:tc>
        <w:tc>
          <w:tcPr>
            <w:tcW w:type="dxa" w:w="3456"/>
            <w:vAlign w:val="top"/>
          </w:tcPr>
          <w:p>
            <w:pPr>
              <w:jc w:val="left"/>
            </w:pPr>
            <w:r/>
            <w:r>
              <w:rPr>
                <w:b w:val="0"/>
                <w:sz w:val="16"/>
              </w:rPr>
              <w:t>Label can enter diagnostic workflows</w:t>
            </w:r>
          </w:p>
        </w:tc>
      </w:tr>
      <w:tr>
        <w:tc>
          <w:tcPr>
            <w:tcW w:type="dxa" w:w="3456"/>
            <w:vAlign w:val="top"/>
          </w:tcPr>
          <w:p>
            <w:pPr>
              <w:jc w:val="left"/>
            </w:pPr>
            <w:r/>
            <w:r>
              <w:rPr>
                <w:b w:val="0"/>
                <w:sz w:val="16"/>
              </w:rPr>
              <w:t>Weak or single-submitter review support</w:t>
            </w:r>
          </w:p>
        </w:tc>
        <w:tc>
          <w:tcPr>
            <w:tcW w:type="dxa" w:w="3456"/>
            <w:vAlign w:val="top"/>
          </w:tcPr>
          <w:p>
            <w:pPr>
              <w:jc w:val="left"/>
            </w:pPr>
            <w:r/>
            <w:r>
              <w:rPr>
                <w:b w:val="0"/>
                <w:sz w:val="16"/>
              </w:rPr>
              <w:t>3/3</w:t>
            </w:r>
          </w:p>
        </w:tc>
        <w:tc>
          <w:tcPr>
            <w:tcW w:type="dxa" w:w="3456"/>
            <w:vAlign w:val="top"/>
          </w:tcPr>
          <w:p>
            <w:pPr>
              <w:jc w:val="left"/>
            </w:pPr>
            <w:r/>
            <w:r>
              <w:rPr>
                <w:b w:val="0"/>
                <w:sz w:val="16"/>
              </w:rPr>
              <w:t>Public assertion is fragile enough for priority review</w:t>
            </w:r>
          </w:p>
        </w:tc>
      </w:tr>
      <w:tr>
        <w:tc>
          <w:tcPr>
            <w:tcW w:type="dxa" w:w="3456"/>
            <w:vAlign w:val="top"/>
          </w:tcPr>
          <w:p>
            <w:pPr>
              <w:jc w:val="left"/>
            </w:pPr>
            <w:r/>
            <w:r>
              <w:rPr>
                <w:b w:val="0"/>
                <w:sz w:val="16"/>
              </w:rPr>
              <w:t>Public citation or ClinVar literature mention</w:t>
            </w:r>
          </w:p>
        </w:tc>
        <w:tc>
          <w:tcPr>
            <w:tcW w:type="dxa" w:w="3456"/>
            <w:vAlign w:val="top"/>
          </w:tcPr>
          <w:p>
            <w:pPr>
              <w:jc w:val="left"/>
            </w:pPr>
            <w:r/>
            <w:r>
              <w:rPr>
                <w:b w:val="0"/>
                <w:sz w:val="16"/>
              </w:rPr>
              <w:t>2/3</w:t>
            </w:r>
          </w:p>
        </w:tc>
        <w:tc>
          <w:tcPr>
            <w:tcW w:type="dxa" w:w="3456"/>
            <w:vAlign w:val="top"/>
          </w:tcPr>
          <w:p>
            <w:pPr>
              <w:jc w:val="left"/>
            </w:pPr>
            <w:r/>
            <w:r>
              <w:rPr>
                <w:b w:val="0"/>
                <w:sz w:val="16"/>
              </w:rPr>
              <w:t>Literature exists for some cases, but not patient-level outcome proof</w:t>
            </w:r>
          </w:p>
        </w:tc>
      </w:tr>
      <w:tr>
        <w:tc>
          <w:tcPr>
            <w:tcW w:type="dxa" w:w="3456"/>
            <w:vAlign w:val="top"/>
          </w:tcPr>
          <w:p>
            <w:pPr>
              <w:jc w:val="left"/>
            </w:pPr>
            <w:r/>
            <w:r>
              <w:rPr>
                <w:b w:val="0"/>
                <w:sz w:val="16"/>
              </w:rPr>
              <w:t>Structured patient-level phenotype linkage sufficient for causality</w:t>
            </w:r>
          </w:p>
        </w:tc>
        <w:tc>
          <w:tcPr>
            <w:tcW w:type="dxa" w:w="3456"/>
            <w:vAlign w:val="top"/>
          </w:tcPr>
          <w:p>
            <w:pPr>
              <w:jc w:val="left"/>
            </w:pPr>
            <w:r/>
            <w:r>
              <w:rPr>
                <w:b w:val="0"/>
                <w:sz w:val="16"/>
              </w:rPr>
              <w:t>0/3</w:t>
            </w:r>
          </w:p>
        </w:tc>
        <w:tc>
          <w:tcPr>
            <w:tcW w:type="dxa" w:w="3456"/>
            <w:vAlign w:val="top"/>
          </w:tcPr>
          <w:p>
            <w:pPr>
              <w:jc w:val="left"/>
            </w:pPr>
            <w:r/>
            <w:r>
              <w:rPr>
                <w:b w:val="0"/>
                <w:sz w:val="16"/>
              </w:rPr>
              <w:t>Not available in the public scoring layer</w:t>
            </w:r>
          </w:p>
        </w:tc>
      </w:tr>
      <w:tr>
        <w:tc>
          <w:tcPr>
            <w:tcW w:type="dxa" w:w="3456"/>
            <w:vAlign w:val="top"/>
          </w:tcPr>
          <w:p>
            <w:pPr>
              <w:jc w:val="left"/>
            </w:pPr>
            <w:r/>
            <w:r>
              <w:rPr>
                <w:b w:val="0"/>
                <w:sz w:val="16"/>
              </w:rPr>
              <w:t>Public penetrance estimate</w:t>
            </w:r>
          </w:p>
        </w:tc>
        <w:tc>
          <w:tcPr>
            <w:tcW w:type="dxa" w:w="3456"/>
            <w:vAlign w:val="top"/>
          </w:tcPr>
          <w:p>
            <w:pPr>
              <w:jc w:val="left"/>
            </w:pPr>
            <w:r/>
            <w:r>
              <w:rPr>
                <w:b w:val="0"/>
                <w:sz w:val="16"/>
              </w:rPr>
              <w:t>0/3</w:t>
            </w:r>
          </w:p>
        </w:tc>
        <w:tc>
          <w:tcPr>
            <w:tcW w:type="dxa" w:w="3456"/>
            <w:vAlign w:val="top"/>
          </w:tcPr>
          <w:p>
            <w:pPr>
              <w:jc w:val="left"/>
            </w:pPr>
            <w:r/>
            <w:r>
              <w:rPr>
                <w:b w:val="0"/>
                <w:sz w:val="16"/>
              </w:rPr>
              <w:t>Not available in the public scoring layer</w:t>
            </w:r>
          </w:p>
        </w:tc>
      </w:tr>
      <w:tr>
        <w:tc>
          <w:tcPr>
            <w:tcW w:type="dxa" w:w="3456"/>
            <w:vAlign w:val="top"/>
          </w:tcPr>
          <w:p>
            <w:pPr>
              <w:jc w:val="left"/>
            </w:pPr>
            <w:r/>
            <w:r>
              <w:rPr>
                <w:b w:val="0"/>
                <w:sz w:val="16"/>
              </w:rPr>
              <w:t>Public segregation or allelic phase evidence</w:t>
            </w:r>
          </w:p>
        </w:tc>
        <w:tc>
          <w:tcPr>
            <w:tcW w:type="dxa" w:w="3456"/>
            <w:vAlign w:val="top"/>
          </w:tcPr>
          <w:p>
            <w:pPr>
              <w:jc w:val="left"/>
            </w:pPr>
            <w:r/>
            <w:r>
              <w:rPr>
                <w:b w:val="0"/>
                <w:sz w:val="16"/>
              </w:rPr>
              <w:t>0/3</w:t>
            </w:r>
          </w:p>
        </w:tc>
        <w:tc>
          <w:tcPr>
            <w:tcW w:type="dxa" w:w="3456"/>
            <w:vAlign w:val="top"/>
          </w:tcPr>
          <w:p>
            <w:pPr>
              <w:jc w:val="left"/>
            </w:pPr>
            <w:r/>
            <w:r>
              <w:rPr>
                <w:b w:val="0"/>
                <w:sz w:val="16"/>
              </w:rPr>
              <w:t>Not available in the public scoring layer</w:t>
            </w:r>
          </w:p>
        </w:tc>
      </w:tr>
      <w:tr>
        <w:tc>
          <w:tcPr>
            <w:tcW w:type="dxa" w:w="3456"/>
            <w:vAlign w:val="top"/>
          </w:tcPr>
          <w:p>
            <w:pPr>
              <w:jc w:val="left"/>
            </w:pPr>
            <w:r/>
            <w:r>
              <w:rPr>
                <w:b w:val="0"/>
                <w:sz w:val="16"/>
              </w:rPr>
              <w:t>Documented cascade-testing or therapy outcome</w:t>
            </w:r>
          </w:p>
        </w:tc>
        <w:tc>
          <w:tcPr>
            <w:tcW w:type="dxa" w:w="3456"/>
            <w:vAlign w:val="top"/>
          </w:tcPr>
          <w:p>
            <w:pPr>
              <w:jc w:val="left"/>
            </w:pPr>
            <w:r/>
            <w:r>
              <w:rPr>
                <w:b w:val="0"/>
                <w:sz w:val="16"/>
              </w:rPr>
              <w:t>0/3</w:t>
            </w:r>
          </w:p>
        </w:tc>
        <w:tc>
          <w:tcPr>
            <w:tcW w:type="dxa" w:w="3456"/>
            <w:vAlign w:val="top"/>
          </w:tcPr>
          <w:p>
            <w:pPr>
              <w:jc w:val="left"/>
            </w:pPr>
            <w:r/>
            <w:r>
              <w:rPr>
                <w:b w:val="0"/>
                <w:sz w:val="16"/>
              </w:rPr>
              <w:t>Not available in the public scoring layer</w:t>
            </w:r>
          </w:p>
        </w:tc>
      </w:tr>
      <w:tr>
        <w:tc>
          <w:tcPr>
            <w:tcW w:type="dxa" w:w="3456"/>
            <w:vAlign w:val="top"/>
          </w:tcPr>
          <w:p>
            <w:pPr>
              <w:jc w:val="left"/>
            </w:pPr>
            <w:r/>
            <w:r>
              <w:rPr>
                <w:b w:val="0"/>
                <w:sz w:val="16"/>
              </w:rPr>
              <w:t>Measurable public decision-risk exposure proxy</w:t>
            </w:r>
          </w:p>
        </w:tc>
        <w:tc>
          <w:tcPr>
            <w:tcW w:type="dxa" w:w="3456"/>
            <w:vAlign w:val="top"/>
          </w:tcPr>
          <w:p>
            <w:pPr>
              <w:jc w:val="left"/>
            </w:pPr>
            <w:r/>
            <w:r>
              <w:rPr>
                <w:b w:val="0"/>
                <w:sz w:val="16"/>
              </w:rPr>
              <w:t>3/3</w:t>
            </w:r>
          </w:p>
        </w:tc>
        <w:tc>
          <w:tcPr>
            <w:tcW w:type="dxa" w:w="3456"/>
            <w:vAlign w:val="top"/>
          </w:tcPr>
          <w:p>
            <w:pPr>
              <w:jc w:val="left"/>
            </w:pPr>
            <w:r/>
            <w:r>
              <w:rPr>
                <w:b w:val="0"/>
                <w:sz w:val="16"/>
              </w:rPr>
              <w:t>Available as record-level and submitter-exposure counts</w:t>
            </w:r>
          </w:p>
        </w:tc>
      </w:tr>
    </w:tbl>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severe annotation does not override population evidence, and the deeper problem is pathogenicity-label distortion. Up to 35.1% of AF-observed LOF/splice ClinVar P/LP arrhythmia assertions showed ancestry-aware frequency discordance. That figure is not an error rate: many cases are compatible with recessive carrier architecture or lack AC support for immediate action. The clinical risk is subtler. A severe-looking ClinVar assertion can be mechanistically plausible in one frame and still misleading as a generic high-penetrance P/LP label.</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This means the system has two separable gaps: hidden ancestry-aware frequency tension among evaluable variants, and representation-driven non-evaluability among the majority. Absence from gnomAD therefore cannot be treated uniformly as rarity.</w:t>
      </w:r>
    </w:p>
    <w:p>
      <w:r>
        <w:t>VITAL's contribution is workflow compression with explainability, but its scientific role is to make this label distortion inspectable. It transforms 115 naive AF alerts into 3 urgent review cases while preserving gray no-frequency-evidence states and component-level explanations. This is not a replacement for ACMG/AMP interpretation, ClinGen specification, functional evidence, phenotype review, or laboratory judgment. It is a way to decide what to inspect first when frequency and clinical assertion are visibly misaligned.</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therefore not only possible variant misclassification; it is loss of biological state during clinical transmission.</w:t>
      </w:r>
    </w:p>
    <w:p>
      <w:r>
        <w:t>The clinical consequence is not abstract, even though patient-level outcomes are unavailable.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therefore does not count proven misdiagnoses, but it converts hidden label exposure into an auditable 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historical validation is sparse. VITAL-red captured 1/23 strict future P/LP-to-VUS/B/LB events in the 3,000-variant audit, confirming that it is not a sensitive predictor of all future reclassification. Its intended endpoint is high-specificity frequency-assertion prioritization.</w:t>
      </w:r>
    </w:p>
    <w:p>
      <w:r>
        <w:t>Third, the score and ontology do not directly model penetrance, phase, zygosity, inheritance, phenotype specificity, segregation, MAVE/functional data, transcript rescue, NMD, or private laboratory evidence. These remain expert review tasks.</w:t>
      </w:r>
    </w:p>
    <w:p>
      <w:r>
        <w:t>Fourth,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Fifth, workflow-concordance benchmarking uses proxy labels and is partly circular because weak review and AC-supported frequency evidence help define both the operational positives and the red gate. These metrics should be read as burden diagnostics, not diagnostic accuracy.</w:t>
      </w:r>
    </w:p>
    <w:p>
      <w:r>
        <w:t>Sixth,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frequency-evaluability gap outputs, temporal robustness outputs, clinical decision-risk proxy outputs,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