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result does not mean that 35.1% of LOF/splice assertions are wrong. It means that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Workflow-concordance benchmarking supported the selected red gate but was not treated as diagnostic accuracy. The proxy positives were weak-review, AC-supported frequency signals; VITAL red captured the 3 operational positives at cutoffs 65-70 while avoiding proxy false-positive urgent review triggers. Sensitivity details are provided in supplementary tables.</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Variant</w:t>
            </w:r>
          </w:p>
        </w:tc>
        <w:tc>
          <w:tcPr>
            <w:tcW w:type="dxa" w:w="2074"/>
            <w:vAlign w:val="top"/>
            <w:shd w:fill="D9EAF7"/>
          </w:tcPr>
          <w:p>
            <w:pPr>
              <w:jc w:val="left"/>
            </w:pPr>
            <w:r/>
            <w:r>
              <w:rPr>
                <w:b/>
                <w:sz w:val="16"/>
              </w:rPr>
              <w:t>AF/AC signal</w:t>
            </w:r>
          </w:p>
        </w:tc>
        <w:tc>
          <w:tcPr>
            <w:tcW w:type="dxa" w:w="2074"/>
            <w:vAlign w:val="top"/>
            <w:shd w:fill="D9EAF7"/>
          </w:tcPr>
          <w:p>
            <w:pPr>
              <w:jc w:val="left"/>
            </w:pPr>
            <w:r/>
            <w:r>
              <w:rPr>
                <w:b/>
                <w:sz w:val="16"/>
              </w:rPr>
              <w:t>Review support</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Misframed-biology mode</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AFR popmax AF=5.68e-3; AC=190</w:t>
            </w:r>
          </w:p>
        </w:tc>
        <w:tc>
          <w:tcPr>
            <w:tcW w:type="dxa" w:w="2074"/>
            <w:vAlign w:val="top"/>
          </w:tcPr>
          <w:p>
            <w:pPr>
              <w:jc w:val="left"/>
            </w:pPr>
            <w:r/>
            <w:r>
              <w:rPr>
                <w:b w:val="0"/>
                <w:sz w:val="16"/>
              </w:rPr>
              <w:t>No assertion criteria</w:t>
            </w:r>
          </w:p>
        </w:tc>
        <w:tc>
          <w:tcPr>
            <w:tcW w:type="dxa" w:w="2074"/>
            <w:vAlign w:val="top"/>
          </w:tcPr>
          <w:p>
            <w:pPr>
              <w:jc w:val="left"/>
            </w:pPr>
            <w:r/>
            <w:r>
              <w:rPr>
                <w:b w:val="0"/>
                <w:sz w:val="16"/>
              </w:rPr>
              <w:t>96.1</w:t>
            </w:r>
          </w:p>
        </w:tc>
        <w:tc>
          <w:tcPr>
            <w:tcW w:type="dxa" w:w="2074"/>
            <w:vAlign w:val="top"/>
          </w:tcPr>
          <w:p>
            <w:pPr>
              <w:jc w:val="left"/>
            </w:pPr>
            <w:r/>
            <w:r>
              <w:rPr>
                <w:b w:val="0"/>
                <w:sz w:val="16"/>
              </w:rPr>
              <w:t>Susceptibility/haplotype inflated into Mendelian P/LP</w:t>
            </w:r>
          </w:p>
        </w:tc>
      </w:tr>
      <w:tr>
        <w:tc>
          <w:tcPr>
            <w:tcW w:type="dxa" w:w="2074"/>
            <w:vAlign w:val="top"/>
          </w:tcPr>
          <w:p>
            <w:pPr>
              <w:jc w:val="left"/>
            </w:pPr>
            <w:r/>
            <w:r>
              <w:rPr>
                <w:b w:val="0"/>
                <w:sz w:val="16"/>
              </w:rPr>
              <w:t>TRDN VCV001325231, c.1050del</w:t>
            </w:r>
          </w:p>
        </w:tc>
        <w:tc>
          <w:tcPr>
            <w:tcW w:type="dxa" w:w="2074"/>
            <w:vAlign w:val="top"/>
          </w:tcPr>
          <w:p>
            <w:pPr>
              <w:jc w:val="left"/>
            </w:pPr>
            <w:r/>
            <w:r>
              <w:rPr>
                <w:b w:val="0"/>
                <w:sz w:val="16"/>
              </w:rPr>
              <w:t>Global AC=40; AMR popmax AF=2.18e-4</w:t>
            </w:r>
          </w:p>
        </w:tc>
        <w:tc>
          <w:tcPr>
            <w:tcW w:type="dxa" w:w="2074"/>
            <w:vAlign w:val="top"/>
          </w:tcPr>
          <w:p>
            <w:pPr>
              <w:jc w:val="left"/>
            </w:pPr>
            <w:r/>
            <w:r>
              <w:rPr>
                <w:b w:val="0"/>
                <w:sz w:val="16"/>
              </w:rPr>
              <w:t>Single submitter</w:t>
            </w:r>
          </w:p>
        </w:tc>
        <w:tc>
          <w:tcPr>
            <w:tcW w:type="dxa" w:w="2074"/>
            <w:vAlign w:val="top"/>
          </w:tcPr>
          <w:p>
            <w:pPr>
              <w:jc w:val="left"/>
            </w:pPr>
            <w:r/>
            <w:r>
              <w:rPr>
                <w:b w:val="0"/>
                <w:sz w:val="16"/>
              </w:rPr>
              <w:t>74.3</w:t>
            </w:r>
          </w:p>
        </w:tc>
        <w:tc>
          <w:tcPr>
            <w:tcW w:type="dxa" w:w="2074"/>
            <w:vAlign w:val="top"/>
          </w:tcPr>
          <w:p>
            <w:pPr>
              <w:jc w:val="left"/>
            </w:pPr>
            <w:r/>
            <w:r>
              <w:rPr>
                <w:b w:val="0"/>
                <w:sz w:val="16"/>
              </w:rPr>
              <w:t>Carrier architecture framed without affected-state context</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Global AC=24; ASJ popmax AF=1.32e-4</w:t>
            </w:r>
          </w:p>
        </w:tc>
        <w:tc>
          <w:tcPr>
            <w:tcW w:type="dxa" w:w="2074"/>
            <w:vAlign w:val="top"/>
          </w:tcPr>
          <w:p>
            <w:pPr>
              <w:jc w:val="left"/>
            </w:pPr>
            <w:r/>
            <w:r>
              <w:rPr>
                <w:b w:val="0"/>
                <w:sz w:val="16"/>
              </w:rPr>
              <w:t>Single submitter</w:t>
            </w:r>
          </w:p>
        </w:tc>
        <w:tc>
          <w:tcPr>
            <w:tcW w:type="dxa" w:w="2074"/>
            <w:vAlign w:val="top"/>
          </w:tcPr>
          <w:p>
            <w:pPr>
              <w:jc w:val="left"/>
            </w:pPr>
            <w:r/>
            <w:r>
              <w:rPr>
                <w:b w:val="0"/>
                <w:sz w:val="16"/>
              </w:rPr>
              <w:t>70.3</w:t>
            </w:r>
          </w:p>
        </w:tc>
        <w:tc>
          <w:tcPr>
            <w:tcW w:type="dxa" w:w="2074"/>
            <w:vAlign w:val="top"/>
          </w:tcPr>
          <w:p>
            <w:pPr>
              <w:jc w:val="left"/>
            </w:pPr>
            <w:r/>
            <w:r>
              <w:rPr>
                <w:b w:val="0"/>
                <w:sz w:val="16"/>
              </w:rPr>
              <w:t>Borderline severe-annotation inflation under weak evidence</w:t>
            </w:r>
          </w:p>
        </w:tc>
      </w:tr>
    </w:tbl>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VITAL does not declare them benign. It identifies records in which the public label may be too broad for the underlying biology.</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This means the system has two separable gaps: hidden ancestry-aware frequency tension among evaluable variants, and representation-driven non-evaluability among the majority. Absence from gnomAD therefore cannot be treated uniformly as rarity.</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w:t>
      </w:r>
    </w:p>
    <w:p>
      <w:r>
        <w:t>Third, the score and ontology do not directly model penetrance, phase, zygosity, inheritance, phenotype specificity, segregation, MAVE/functional data, transcript rescue, NMD, or private laboratory evidence. These remain expert review tasks.</w:t>
      </w:r>
    </w:p>
    <w:p>
      <w:r>
        <w:t>Fourth,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Fifth, workflow-concordance benchmarking uses proxy labels and is partly circular because weak review and AC-supported frequency evidence help define both the operational positives and the red gate. These metrics should be read as burden diagnostics, not diagnostic accuracy.</w:t>
      </w:r>
    </w:p>
    <w:p>
      <w:r>
        <w:t>Sixth,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frequency-evaluability gap outputs, temporal robustness outputs, clinical decision-risk proxy outputs,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