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not an automated reclassification engine.</w:t>
      </w:r>
    </w:p>
    <w:p>
      <w:r>
        <w:rPr>
          <w:b/>
        </w:rPr>
        <w:t>Results:</w:t>
      </w:r>
      <w:r>
        <w:t xml:space="preserve"> Only 350/1,731 variants (20.2%) had exact gnomAD allele matches, and 334 had usable AF evidence.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that this was a tension universe rather than an error-rate estimate: 35/92 severe-discordant assertions were in carrier-compatible CASQ2/TRDN contexts, while only 1/57 non-recessive severe-discordant assertions was AC-supported. VITAL compressed 115 naive AF alerts to 3 red-priority review cases.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Global-AF-only ACMG/AMP implementations can systematically miss ancestry-aware frequency tension; popmax-aware, AC-aware, representation-aware review prioritization is needed to make these conflicts clinically inspectable without automating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We introduce VITAL as an explainable re-review prioritization framework. VITAL does not classify variants as benign or pathogenic. It identifies where archived clinical assertions and population-frequency evidence are sufficiently discordant to justify expert review.</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Non-overlap was not random.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does not protect against frequency discordance</w:t>
      </w:r>
    </w:p>
    <w:p>
      <w:r>
        <w:t>The main biological result is that severe annotation does not make a ClinVar P/LP assertion frequency-clean.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Not misclassification by itself</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Highest-priority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Monitor; insufficient AC for urgent action</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Routine mechanism review</w:t>
            </w:r>
          </w:p>
        </w:tc>
      </w:tr>
    </w:tbl>
    <w:p/>
    <w:p>
      <w:r>
        <w:t>The claim is therefore narrower and stronger than "LOF variants are often benign": severe annotation is not sufficient to override population-frequency contradiction. It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biological tension types</w:t>
      </w:r>
    </w:p>
    <w:p>
      <w:r>
        <w:t>The 3 red-priority arrhythmia variants were not interchangeable AF outliers. They represented three different interpretation problems: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Interpretation question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Haplotype/drug-response susceptibility vs broad Mendelian pathogenic label</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Recessive carrier frequency vs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splice assertion in constrained dominant LQTS gene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them as the records a laboratory should inspect first.</w:t>
      </w:r>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pPr>
        <w:pStyle w:val="Heading1"/>
      </w:pPr>
      <w:r>
        <w:t>Discussion</w:t>
      </w:r>
    </w:p>
    <w:p>
      <w:r>
        <w:t>The central finding is that severe annotation does not override population evidence.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and still too frequent for the high-penetrance label attached to it.</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 Similarly, absence from gnomAD cannot be treated uniformly as rarity because indels and duplications are underrepresented by exact allele matching.</w:t>
      </w:r>
    </w:p>
    <w:p>
      <w:r>
        <w:t>VITAL's contribution is workflow compression with explainability.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in tension.</w:t>
      </w:r>
    </w:p>
    <w:p>
      <w:r>
        <w:t>The three red-priority arrhythmia cases illustrate why a single AF threshold is insufficient.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does not directly model penetrance, phase, zygosity, inheritance, phenotype specificity, segregation, MAVE/functional data, transcript rescue, NMD, or private laboratory evidence. These remain expert review tasks.</w:t>
      </w:r>
    </w:p>
    <w:p>
      <w:r>
        <w:t>Fourth,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Fifth, public ClinVar captures classification-level changes, not patient-level downstream effects. We can identify P/LP-to-VUS/B/LB movement, but not diagnosis reversal, cascade-testing changes, surveillance changes,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