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and defined a compact pathogenicity-label ontology for routing discordant assertions, not an automated reclassification engine.</w:t>
      </w:r>
    </w:p>
    <w:p>
      <w:r>
        <w:rPr>
          <w:b/>
        </w:rPr>
        <w:t>Results:</w:t>
      </w:r>
      <w:r>
        <w:t xml:space="preserve"> Only 350/1,731 variants (20.2%) had exact gnomAD allele matches, and 334 had usable AF evidence.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Because patient-level outcomes are not observable in public ClinVar, we quantified decision-risk exposure: the 115 frequency-discordant arrhythmia records represented at least 168 submitter-exposure units, 9 AC-supported records represented 15 units, and VITAL compressed these to 3 urgent records.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 subset of public P/LP assertions appears biologically misframed rather than merely uncertain: susceptibility is not equivalent to Mendelian disease, carrier architecture is not equivalent to dominant pathogenicity, and severe annotation is not equivalent to high penetrance. A label-state ontology makes these distortions clinically actionable as review routes while preserving expert responsibility for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Because public ClinVar does not expose patient counts, we quantified clinical decision-risk exposure using record counts and minimum submitter-exposure units, with missing submitter counts treated conservatively as one unit.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Non-overlap was not random.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Counterfactual clinical framing exposes decision failure modes</w:t>
      </w:r>
    </w:p>
    <w:p>
      <w:r>
        <w:t>SCN5A VCV000440850 is the clearest decision-risk case. The current public state is a ClinVar Pathogenic assertion with no assertion criteria, AFR popmax AF=5.68e-3, AC=190, and VITAL=96.1. If interpreted as a high-penetrance Mendelian Brugada or arrhythmia allele, the label can support diagnostic closure, ancestry-matched cascade testing, and surveillance or therapy discussions. That logic breaks at the population-frequency layer: a variant with this population frequency cannot plausibly represent a high-penetrance monogenic arrhythmia allele. The more coherent biological frame is a context-dependent susceptibility or haplotype signal, not a generic Mendelian P/LP assertion.</w:t>
      </w:r>
    </w:p>
    <w:p>
      <w:r>
        <w:t>TRDN VCV001325231 illustrates the opposite failure mode. The current public state is a ClinVar Likely pathogenic assertion from a single submitter, with global AC=40, AMR popmax AF=2.18e-4, and VITAL=74.3. If read as a dominant high-penetrance arrhythmia allele, the label can create inappropriate family-risk framing or surveillance escalation. That logic breaks because the strongest established TRDN disease model is recessive or biallelic null architecture; heterozygous carrier frequency can be compatible with pathogenicity only in the affected-state context. The appropriate review action is therefore carrier- and phase-aware adjudication, including search for a second allele, rather than direct use as a disease-explaining dominant result.</w:t>
      </w:r>
    </w:p>
    <w:p>
      <w:r>
        <w:t>KCNH2 VCV004535537 remains a different category. Because KCNH2 is a constrained dominant arrhythmia gene, AC-supported splice-site frequency tension is uncomfortable; because the case is borderline and weight-sensitive, the action is immediate expert review rather than automatic downgrading. Current ClinVar labeling does not distinguish these states.</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 Similarly, absence from gnomAD cannot be treated uniformly as rarity because indels and duplications are underrepresented by exact allele matching.</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illustrate why a single AF threshold is insufficient and why label framing matters clinically.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These counterfactuals are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therefore not only possible variant misclassification; it is loss of biological state during clinical transmission.</w:t>
      </w:r>
    </w:p>
    <w:p>
      <w:r>
        <w:t>The clinical consequence is not abstract, even though patient-level outcomes are unavailable.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therefore does not count proven misdiagnoses, but it converts hidden label exposure into an auditable 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Fifth,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